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5B3F1" w14:textId="77777777" w:rsidR="00A731E1" w:rsidRDefault="00043197">
      <w:pPr>
        <w:spacing w:after="200" w:line="276" w:lineRule="auto"/>
        <w:jc w:val="left"/>
        <w:rPr>
          <w:rFonts w:eastAsia="Arial"/>
          <w:b/>
          <w:color w:val="000000"/>
          <w:sz w:val="36"/>
          <w:szCs w:val="36"/>
        </w:rPr>
      </w:pPr>
      <w:r>
        <w:rPr>
          <w:rFonts w:eastAsia="Arial"/>
          <w:b/>
          <w:color w:val="000000"/>
          <w:sz w:val="36"/>
          <w:szCs w:val="36"/>
        </w:rPr>
        <w:t>Schedule 24 (</w:t>
      </w:r>
      <w:r>
        <w:rPr>
          <w:rFonts w:eastAsia="Arial"/>
          <w:b/>
          <w:sz w:val="36"/>
          <w:szCs w:val="36"/>
        </w:rPr>
        <w:t>Financial</w:t>
      </w:r>
      <w:r>
        <w:rPr>
          <w:rFonts w:eastAsia="Arial"/>
          <w:b/>
          <w:color w:val="000000"/>
          <w:sz w:val="36"/>
          <w:szCs w:val="36"/>
        </w:rPr>
        <w:t xml:space="preserve"> Difficulties)</w:t>
      </w:r>
    </w:p>
    <w:p w14:paraId="718AA520"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0" w:name="_heading=h.3dy6vkm" w:colFirst="0" w:colLast="0"/>
      <w:bookmarkEnd w:id="0"/>
      <w:r w:rsidRPr="006C68D3">
        <w:rPr>
          <w:rFonts w:eastAsia="Calibri"/>
          <w:b/>
          <w:color w:val="000000"/>
          <w:szCs w:val="24"/>
        </w:rPr>
        <w:t>Definitions</w:t>
      </w:r>
    </w:p>
    <w:p w14:paraId="6EEDAED0"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this Schedule, the following words shall have the following meanings and they shall supplement Schedule 1 (Definitions):</w:t>
      </w:r>
      <w:bookmarkStart w:id="1" w:name="_GoBack"/>
      <w:bookmarkEnd w:id="1"/>
    </w:p>
    <w:tbl>
      <w:tblPr>
        <w:tblStyle w:val="a2"/>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A731E1" w14:paraId="6657D5B1" w14:textId="77777777" w:rsidTr="006C68D3">
        <w:tc>
          <w:tcPr>
            <w:tcW w:w="2624" w:type="dxa"/>
          </w:tcPr>
          <w:p w14:paraId="2F585ADF" w14:textId="5D075FCD"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Applicable Financial Indicators</w:t>
            </w:r>
            <w:r>
              <w:rPr>
                <w:rFonts w:eastAsia="Arial"/>
                <w:b/>
                <w:color w:val="000000"/>
                <w:szCs w:val="24"/>
              </w:rPr>
              <w:t>"</w:t>
            </w:r>
          </w:p>
        </w:tc>
        <w:tc>
          <w:tcPr>
            <w:tcW w:w="5456" w:type="dxa"/>
          </w:tcPr>
          <w:p w14:paraId="6BA2F9D8" w14:textId="30AEDADF"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financial indicators from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which are to apply to the Monitored Suppliers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w:t>
            </w:r>
          </w:p>
        </w:tc>
      </w:tr>
      <w:tr w:rsidR="00A731E1" w14:paraId="2FA00738" w14:textId="77777777" w:rsidTr="006C68D3">
        <w:tc>
          <w:tcPr>
            <w:tcW w:w="2624" w:type="dxa"/>
          </w:tcPr>
          <w:p w14:paraId="52ADDBD0" w14:textId="3A67D7EF"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Rating Threshold</w:t>
            </w:r>
            <w:r>
              <w:rPr>
                <w:rFonts w:eastAsia="Arial"/>
                <w:b/>
                <w:color w:val="000000"/>
                <w:szCs w:val="24"/>
              </w:rPr>
              <w:t>"</w:t>
            </w:r>
          </w:p>
        </w:tc>
        <w:tc>
          <w:tcPr>
            <w:tcW w:w="5456" w:type="dxa"/>
          </w:tcPr>
          <w:p w14:paraId="72D6A5B5" w14:textId="0BFC42D3"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rating level for each entity in the FDE Group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0901A7EC" w14:textId="77777777" w:rsidTr="006C68D3">
        <w:tc>
          <w:tcPr>
            <w:tcW w:w="2624" w:type="dxa"/>
          </w:tcPr>
          <w:p w14:paraId="2941A991" w14:textId="199B7D6B"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Reference Agencies</w:t>
            </w:r>
            <w:r>
              <w:rPr>
                <w:rFonts w:eastAsia="Arial"/>
                <w:b/>
                <w:color w:val="000000"/>
                <w:szCs w:val="24"/>
              </w:rPr>
              <w:t>"</w:t>
            </w:r>
          </w:p>
        </w:tc>
        <w:tc>
          <w:tcPr>
            <w:tcW w:w="5456" w:type="dxa"/>
          </w:tcPr>
          <w:p w14:paraId="5712D852" w14:textId="314D1DFE"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credit reference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r w:rsidR="00A731E1" w14:paraId="33616F00" w14:textId="77777777" w:rsidTr="006C68D3">
        <w:tc>
          <w:tcPr>
            <w:tcW w:w="2624" w:type="dxa"/>
          </w:tcPr>
          <w:p w14:paraId="1F93ABF4" w14:textId="1DF4EAE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w:t>
            </w:r>
            <w:r>
              <w:rPr>
                <w:rFonts w:eastAsia="Arial"/>
                <w:b/>
                <w:color w:val="000000"/>
                <w:szCs w:val="24"/>
              </w:rPr>
              <w:t>"</w:t>
            </w:r>
          </w:p>
        </w:tc>
        <w:tc>
          <w:tcPr>
            <w:tcW w:w="5456" w:type="dxa"/>
          </w:tcPr>
          <w:p w14:paraId="7F387159" w14:textId="3C092C9A"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size of any downgrade in a credit score,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which triggers a Credit Score Notification Trigger Event;</w:t>
            </w:r>
          </w:p>
        </w:tc>
      </w:tr>
      <w:tr w:rsidR="00A731E1" w14:paraId="5B5E244C" w14:textId="77777777" w:rsidTr="006C68D3">
        <w:tc>
          <w:tcPr>
            <w:tcW w:w="2624" w:type="dxa"/>
          </w:tcPr>
          <w:p w14:paraId="3BEC1CA8" w14:textId="4DF8960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 Event</w:t>
            </w:r>
            <w:r>
              <w:rPr>
                <w:rFonts w:eastAsia="Arial"/>
                <w:b/>
                <w:color w:val="000000"/>
                <w:szCs w:val="24"/>
              </w:rPr>
              <w:t>"</w:t>
            </w:r>
          </w:p>
        </w:tc>
        <w:tc>
          <w:tcPr>
            <w:tcW w:w="5456" w:type="dxa"/>
          </w:tcPr>
          <w:p w14:paraId="6C1421B6" w14:textId="77777777"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any downgrade of a credit score which is equal to or greater than the Credit Score Notification Trigger;</w:t>
            </w:r>
          </w:p>
        </w:tc>
      </w:tr>
      <w:tr w:rsidR="00A731E1" w14:paraId="310F5226" w14:textId="77777777" w:rsidTr="006C68D3">
        <w:tc>
          <w:tcPr>
            <w:tcW w:w="2624" w:type="dxa"/>
          </w:tcPr>
          <w:p w14:paraId="45A36814" w14:textId="7DBF4D40"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Threshold</w:t>
            </w:r>
            <w:r>
              <w:rPr>
                <w:rFonts w:eastAsia="Arial"/>
                <w:b/>
                <w:color w:val="000000"/>
                <w:szCs w:val="24"/>
              </w:rPr>
              <w:t>"</w:t>
            </w:r>
          </w:p>
        </w:tc>
        <w:tc>
          <w:tcPr>
            <w:tcW w:w="5456" w:type="dxa"/>
          </w:tcPr>
          <w:p w14:paraId="28DC9365" w14:textId="74B22CF6"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score level for each entity in the FDE Group as set out in </w:t>
            </w:r>
            <w:r w:rsidR="006C68D3">
              <w:rPr>
                <w:rFonts w:eastAsia="Arial"/>
                <w:color w:val="000000"/>
                <w:szCs w:val="24"/>
              </w:rPr>
              <w:t xml:space="preserve">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3D2BBE37" w14:textId="77777777" w:rsidTr="006C68D3">
        <w:tc>
          <w:tcPr>
            <w:tcW w:w="2624" w:type="dxa"/>
          </w:tcPr>
          <w:p w14:paraId="23F2E39E" w14:textId="5F09A955" w:rsidR="00A731E1" w:rsidRDefault="006C68D3">
            <w:pPr>
              <w:pBdr>
                <w:top w:val="nil"/>
                <w:left w:val="nil"/>
                <w:bottom w:val="nil"/>
                <w:right w:val="nil"/>
                <w:between w:val="nil"/>
              </w:pBdr>
              <w:spacing w:before="120" w:after="120"/>
              <w:jc w:val="left"/>
              <w:rPr>
                <w:rFonts w:eastAsia="Arial"/>
                <w:b/>
                <w:color w:val="000000"/>
                <w:szCs w:val="24"/>
              </w:rPr>
            </w:pPr>
            <w:bookmarkStart w:id="2" w:name="_heading=h.gjdgxs" w:colFirst="0" w:colLast="0"/>
            <w:bookmarkEnd w:id="2"/>
            <w:r>
              <w:rPr>
                <w:rFonts w:eastAsia="Arial"/>
                <w:b/>
                <w:color w:val="000000"/>
                <w:szCs w:val="24"/>
              </w:rPr>
              <w:t>"</w:t>
            </w:r>
            <w:r w:rsidR="00043197">
              <w:rPr>
                <w:rFonts w:eastAsia="Arial"/>
                <w:b/>
                <w:color w:val="000000"/>
                <w:szCs w:val="24"/>
              </w:rPr>
              <w:t>Financial Distress Service Continuity Plan</w:t>
            </w:r>
            <w:r>
              <w:rPr>
                <w:rFonts w:eastAsia="Arial"/>
                <w:b/>
                <w:color w:val="000000"/>
                <w:szCs w:val="24"/>
              </w:rPr>
              <w:t>"</w:t>
            </w:r>
          </w:p>
          <w:p w14:paraId="45FEDD66" w14:textId="77777777" w:rsidR="006C68D3" w:rsidRPr="006C68D3" w:rsidRDefault="006C68D3" w:rsidP="006C68D3">
            <w:pPr>
              <w:rPr>
                <w:rFonts w:eastAsia="Arial"/>
                <w:szCs w:val="24"/>
              </w:rPr>
            </w:pPr>
          </w:p>
          <w:p w14:paraId="255003FE" w14:textId="77777777" w:rsidR="006C68D3" w:rsidRPr="006C68D3" w:rsidRDefault="006C68D3" w:rsidP="006C68D3">
            <w:pPr>
              <w:rPr>
                <w:rFonts w:eastAsia="Arial"/>
                <w:szCs w:val="24"/>
              </w:rPr>
            </w:pPr>
          </w:p>
          <w:p w14:paraId="21959DEA" w14:textId="77777777" w:rsidR="006C68D3" w:rsidRDefault="006C68D3" w:rsidP="006C68D3">
            <w:pPr>
              <w:rPr>
                <w:rFonts w:eastAsia="Arial"/>
                <w:b/>
                <w:color w:val="000000"/>
                <w:szCs w:val="24"/>
              </w:rPr>
            </w:pPr>
          </w:p>
          <w:p w14:paraId="0B686366" w14:textId="77777777" w:rsidR="006C68D3" w:rsidRDefault="006C68D3" w:rsidP="006C68D3">
            <w:pPr>
              <w:rPr>
                <w:rFonts w:eastAsia="Arial"/>
                <w:b/>
                <w:color w:val="000000"/>
                <w:szCs w:val="24"/>
              </w:rPr>
            </w:pPr>
          </w:p>
          <w:p w14:paraId="33CF4815" w14:textId="03D7DDE6" w:rsidR="006C68D3" w:rsidRPr="006C68D3" w:rsidRDefault="006C68D3" w:rsidP="006C68D3">
            <w:pPr>
              <w:jc w:val="right"/>
              <w:rPr>
                <w:rFonts w:eastAsia="Arial"/>
                <w:szCs w:val="24"/>
              </w:rPr>
            </w:pPr>
          </w:p>
        </w:tc>
        <w:tc>
          <w:tcPr>
            <w:tcW w:w="5456" w:type="dxa"/>
          </w:tcPr>
          <w:p w14:paraId="320D2406" w14:textId="586BFD41"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a plan setting out how the Supplier will ensure the continued performance and delivery of the Deliverables in accordance with </w:t>
            </w:r>
            <w:r w:rsidR="00BE660D">
              <w:rPr>
                <w:rFonts w:eastAsia="Arial"/>
                <w:color w:val="000000"/>
                <w:szCs w:val="24"/>
              </w:rPr>
              <w:t>this Contract</w:t>
            </w:r>
            <w:r>
              <w:rPr>
                <w:rFonts w:eastAsia="Arial"/>
                <w:color w:val="000000"/>
                <w:szCs w:val="24"/>
              </w:rPr>
              <w:t xml:space="preserve"> in the event that a Financial Distress Event occurs. This plan should include what the Buyer would need to put in place to ensure performance and delivery of the Deliverables in accordance with this Contract up to and including any Insolvency Event in respect of the relevant FDE Group entity;</w:t>
            </w:r>
          </w:p>
        </w:tc>
      </w:tr>
      <w:tr w:rsidR="00A731E1" w14:paraId="020C1CB2" w14:textId="77777777" w:rsidTr="006C68D3">
        <w:tc>
          <w:tcPr>
            <w:tcW w:w="2624" w:type="dxa"/>
          </w:tcPr>
          <w:p w14:paraId="522D1B1F" w14:textId="0D75A16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Financial Indicators</w:t>
            </w:r>
            <w:r>
              <w:rPr>
                <w:rFonts w:eastAsia="Arial"/>
                <w:b/>
                <w:color w:val="000000"/>
                <w:szCs w:val="24"/>
              </w:rPr>
              <w:t>"</w:t>
            </w:r>
          </w:p>
        </w:tc>
        <w:tc>
          <w:tcPr>
            <w:tcW w:w="5456" w:type="dxa"/>
          </w:tcPr>
          <w:p w14:paraId="2776579E" w14:textId="374EE923"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in respect of the Supplier, Key Sub-contractors and the Guarantor, means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and in respect of each Monitored Supplier, means those Applicable Financial Indicators;</w:t>
            </w:r>
          </w:p>
        </w:tc>
      </w:tr>
      <w:tr w:rsidR="00A731E1" w14:paraId="7B6176C9" w14:textId="77777777" w:rsidTr="006C68D3">
        <w:tc>
          <w:tcPr>
            <w:tcW w:w="2624" w:type="dxa"/>
          </w:tcPr>
          <w:p w14:paraId="25B59967" w14:textId="708ECC52"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Financial Target Thresholds</w:t>
            </w:r>
            <w:r>
              <w:rPr>
                <w:rFonts w:eastAsia="Arial"/>
                <w:b/>
                <w:color w:val="000000"/>
                <w:szCs w:val="24"/>
              </w:rPr>
              <w:t>"</w:t>
            </w:r>
          </w:p>
        </w:tc>
        <w:tc>
          <w:tcPr>
            <w:tcW w:w="5456" w:type="dxa"/>
          </w:tcPr>
          <w:p w14:paraId="42CADBDD" w14:textId="7B354865"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target thresholds for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w:t>
            </w:r>
          </w:p>
        </w:tc>
      </w:tr>
      <w:tr w:rsidR="00A731E1" w14:paraId="675A1961" w14:textId="77777777" w:rsidTr="006C68D3">
        <w:tc>
          <w:tcPr>
            <w:tcW w:w="2624" w:type="dxa"/>
          </w:tcPr>
          <w:p w14:paraId="6517047D" w14:textId="52C75C56"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Primary Metric</w:t>
            </w:r>
            <w:r>
              <w:rPr>
                <w:rFonts w:eastAsia="Arial"/>
                <w:b/>
                <w:color w:val="000000"/>
                <w:szCs w:val="24"/>
              </w:rPr>
              <w:t>"</w:t>
            </w:r>
          </w:p>
        </w:tc>
        <w:tc>
          <w:tcPr>
            <w:tcW w:w="5456" w:type="dxa"/>
          </w:tcPr>
          <w:p w14:paraId="01099307" w14:textId="589E33B3" w:rsidR="00A731E1" w:rsidRPr="000A02B3"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financial indicators pursuant to Paragraph </w:t>
            </w:r>
            <w:r w:rsidR="006C68D3">
              <w:rPr>
                <w:rFonts w:eastAsia="Arial"/>
                <w:color w:val="000000"/>
                <w:szCs w:val="24"/>
              </w:rPr>
              <w:fldChar w:fldCharType="begin"/>
            </w:r>
            <w:r w:rsidR="006C68D3">
              <w:rPr>
                <w:rFonts w:eastAsia="Arial"/>
                <w:color w:val="000000"/>
                <w:szCs w:val="24"/>
              </w:rPr>
              <w:instrText xml:space="preserve"> REF _Ref141086662 \n \h </w:instrText>
            </w:r>
            <w:r w:rsidR="006C68D3">
              <w:rPr>
                <w:rFonts w:eastAsia="Arial"/>
                <w:color w:val="000000"/>
                <w:szCs w:val="24"/>
              </w:rPr>
            </w:r>
            <w:r w:rsidR="006C68D3">
              <w:rPr>
                <w:rFonts w:eastAsia="Arial"/>
                <w:color w:val="000000"/>
                <w:szCs w:val="24"/>
              </w:rPr>
              <w:fldChar w:fldCharType="separate"/>
            </w:r>
            <w:r w:rsidR="006772B1">
              <w:rPr>
                <w:rFonts w:eastAsia="Arial"/>
                <w:color w:val="000000"/>
                <w:szCs w:val="24"/>
              </w:rPr>
              <w:t>5.4</w:t>
            </w:r>
            <w:r w:rsidR="006C68D3">
              <w:rPr>
                <w:rFonts w:eastAsia="Arial"/>
                <w:color w:val="000000"/>
                <w:szCs w:val="24"/>
              </w:rPr>
              <w:fldChar w:fldCharType="end"/>
            </w:r>
          </w:p>
        </w:tc>
      </w:tr>
      <w:tr w:rsidR="00A731E1" w14:paraId="5801AE02" w14:textId="77777777" w:rsidTr="006C68D3">
        <w:tc>
          <w:tcPr>
            <w:tcW w:w="2624" w:type="dxa"/>
          </w:tcPr>
          <w:p w14:paraId="068C9408" w14:textId="4DE0AC29"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lastRenderedPageBreak/>
              <w:t>"</w:t>
            </w:r>
            <w:r w:rsidR="00043197">
              <w:rPr>
                <w:rFonts w:eastAsia="Arial"/>
                <w:b/>
                <w:color w:val="000000"/>
                <w:szCs w:val="24"/>
              </w:rPr>
              <w:t>Monitored Supplier</w:t>
            </w:r>
            <w:r>
              <w:rPr>
                <w:rFonts w:eastAsia="Arial"/>
                <w:b/>
                <w:color w:val="000000"/>
                <w:szCs w:val="24"/>
              </w:rPr>
              <w:t>"</w:t>
            </w:r>
          </w:p>
        </w:tc>
        <w:tc>
          <w:tcPr>
            <w:tcW w:w="5456" w:type="dxa"/>
          </w:tcPr>
          <w:p w14:paraId="5A17A429" w14:textId="296F1825"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those entities specified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 and</w:t>
            </w:r>
          </w:p>
        </w:tc>
      </w:tr>
      <w:tr w:rsidR="00A731E1" w14:paraId="3A4E0314" w14:textId="77777777" w:rsidTr="006C68D3">
        <w:tc>
          <w:tcPr>
            <w:tcW w:w="2624" w:type="dxa"/>
          </w:tcPr>
          <w:p w14:paraId="537D58E5" w14:textId="50917E1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Rating Agencies</w:t>
            </w:r>
            <w:r>
              <w:rPr>
                <w:rFonts w:eastAsia="Arial"/>
                <w:b/>
                <w:color w:val="000000"/>
                <w:szCs w:val="24"/>
              </w:rPr>
              <w:t>"</w:t>
            </w:r>
          </w:p>
        </w:tc>
        <w:tc>
          <w:tcPr>
            <w:tcW w:w="5456" w:type="dxa"/>
          </w:tcPr>
          <w:p w14:paraId="0AC81EB0" w14:textId="2C159801"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rating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bl>
    <w:p w14:paraId="5DD8F87F"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3" w:name="_heading=h.30j0zll" w:colFirst="0" w:colLast="0"/>
      <w:bookmarkEnd w:id="3"/>
      <w:r w:rsidRPr="006C68D3">
        <w:rPr>
          <w:rFonts w:eastAsia="Calibri"/>
          <w:b/>
          <w:color w:val="000000"/>
          <w:szCs w:val="24"/>
        </w:rPr>
        <w:t>When this Schedule applies</w:t>
      </w:r>
    </w:p>
    <w:p w14:paraId="67C1FEFE"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Parties shall comply with the provisions of this Schedule in relation to the assessment of the financial standing of the FDE Group and the consequences of a change to that financial standing.</w:t>
      </w:r>
    </w:p>
    <w:p w14:paraId="186054D4" w14:textId="38215EDD" w:rsidR="00A731E1" w:rsidRPr="006C68D3" w:rsidRDefault="00043197">
      <w:pPr>
        <w:numPr>
          <w:ilvl w:val="1"/>
          <w:numId w:val="2"/>
        </w:numPr>
        <w:pBdr>
          <w:top w:val="nil"/>
          <w:left w:val="nil"/>
          <w:bottom w:val="nil"/>
          <w:right w:val="nil"/>
          <w:between w:val="nil"/>
        </w:pBdr>
        <w:spacing w:before="120" w:after="120"/>
        <w:jc w:val="left"/>
        <w:rPr>
          <w:rFonts w:eastAsia="Arial"/>
          <w:color w:val="000000"/>
          <w:szCs w:val="24"/>
        </w:rPr>
      </w:pPr>
      <w:r w:rsidRPr="006C68D3">
        <w:rPr>
          <w:rFonts w:eastAsia="Calibri"/>
          <w:color w:val="000000"/>
          <w:szCs w:val="24"/>
        </w:rPr>
        <w:t xml:space="preserve">The terms of this Schedule shall survive </w:t>
      </w:r>
      <w:r w:rsidRPr="006C68D3">
        <w:rPr>
          <w:rFonts w:eastAsia="Arial"/>
          <w:color w:val="000000"/>
          <w:szCs w:val="24"/>
        </w:rPr>
        <w:t xml:space="preserve">under </w:t>
      </w:r>
      <w:r w:rsidR="00BE660D">
        <w:rPr>
          <w:rFonts w:eastAsia="Arial"/>
          <w:color w:val="000000"/>
          <w:szCs w:val="24"/>
        </w:rPr>
        <w:t>this Contract</w:t>
      </w:r>
      <w:r w:rsidRPr="006C68D3">
        <w:rPr>
          <w:rFonts w:eastAsia="Arial"/>
          <w:color w:val="000000"/>
          <w:szCs w:val="24"/>
        </w:rPr>
        <w:t xml:space="preserve"> until the </w:t>
      </w:r>
      <w:r w:rsidRPr="006C68D3">
        <w:rPr>
          <w:rFonts w:eastAsia="Calibri"/>
          <w:color w:val="000000"/>
          <w:szCs w:val="24"/>
        </w:rPr>
        <w:t>termination</w:t>
      </w:r>
      <w:r w:rsidRPr="006C68D3">
        <w:rPr>
          <w:rFonts w:eastAsia="Arial"/>
          <w:color w:val="000000"/>
          <w:szCs w:val="24"/>
        </w:rPr>
        <w:t xml:space="preserve"> or expiry of </w:t>
      </w:r>
      <w:r w:rsidR="00BE660D">
        <w:rPr>
          <w:rFonts w:eastAsia="Arial"/>
          <w:color w:val="000000"/>
          <w:szCs w:val="24"/>
        </w:rPr>
        <w:t>this Contract</w:t>
      </w:r>
      <w:r w:rsidRPr="006C68D3">
        <w:rPr>
          <w:rFonts w:eastAsia="Arial"/>
          <w:color w:val="000000"/>
          <w:szCs w:val="24"/>
        </w:rPr>
        <w:t>.</w:t>
      </w:r>
    </w:p>
    <w:p w14:paraId="42A31AD6" w14:textId="77777777" w:rsidR="00A731E1" w:rsidRPr="006C68D3" w:rsidRDefault="00043197" w:rsidP="006C68D3">
      <w:pPr>
        <w:keepNext/>
        <w:numPr>
          <w:ilvl w:val="0"/>
          <w:numId w:val="2"/>
        </w:numPr>
        <w:pBdr>
          <w:top w:val="nil"/>
          <w:left w:val="nil"/>
          <w:bottom w:val="nil"/>
          <w:right w:val="nil"/>
          <w:between w:val="nil"/>
        </w:pBdr>
        <w:spacing w:before="120"/>
        <w:jc w:val="left"/>
        <w:rPr>
          <w:rFonts w:eastAsia="Arial"/>
          <w:b/>
          <w:smallCaps/>
          <w:color w:val="000000"/>
          <w:szCs w:val="24"/>
        </w:rPr>
      </w:pPr>
      <w:r w:rsidRPr="006C68D3">
        <w:rPr>
          <w:rFonts w:eastAsia="Calibri"/>
          <w:b/>
          <w:color w:val="000000"/>
          <w:szCs w:val="24"/>
        </w:rPr>
        <w:t>Credit Ratings</w:t>
      </w:r>
    </w:p>
    <w:p w14:paraId="06496B12" w14:textId="1CC63022"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 w:name="_heading=h.1fob9te" w:colFirst="0" w:colLast="0"/>
      <w:bookmarkEnd w:id="4"/>
      <w:r w:rsidRPr="006C68D3">
        <w:rPr>
          <w:rFonts w:eastAsia="Calibri"/>
          <w:color w:val="000000"/>
          <w:szCs w:val="24"/>
        </w:rPr>
        <w:t xml:space="preserve">The Supplier warrants and represents to the Buyer that as at the </w:t>
      </w:r>
      <w:sdt>
        <w:sdtPr>
          <w:rPr>
            <w:szCs w:val="24"/>
          </w:rPr>
          <w:tag w:val="goog_rdk_0"/>
          <w:id w:val="-1881392898"/>
        </w:sdtPr>
        <w:sdtEndPr/>
        <w:sdtContent>
          <w:r w:rsidRPr="006C68D3">
            <w:rPr>
              <w:rFonts w:eastAsia="Calibri"/>
              <w:color w:val="000000"/>
              <w:szCs w:val="24"/>
            </w:rPr>
            <w:t>Effective</w:t>
          </w:r>
        </w:sdtContent>
      </w:sdt>
      <w:sdt>
        <w:sdtPr>
          <w:rPr>
            <w:szCs w:val="24"/>
          </w:rPr>
          <w:tag w:val="goog_rdk_1"/>
          <w:id w:val="-999801953"/>
          <w:showingPlcHdr/>
        </w:sdtPr>
        <w:sdtEndPr/>
        <w:sdtContent>
          <w:r w:rsidR="006C68D3" w:rsidRPr="006C68D3">
            <w:rPr>
              <w:szCs w:val="24"/>
            </w:rPr>
            <w:t xml:space="preserve">     </w:t>
          </w:r>
        </w:sdtContent>
      </w:sdt>
      <w:r w:rsidRPr="006C68D3">
        <w:rPr>
          <w:rFonts w:eastAsia="Calibri"/>
          <w:color w:val="000000"/>
          <w:szCs w:val="24"/>
        </w:rPr>
        <w:t xml:space="preserve"> Date the long term credit ratings issued for each entity in the FDE Group by each of the Rating Agencies are as set out in </w:t>
      </w:r>
      <w:r w:rsidR="002238CF">
        <w:rPr>
          <w:rFonts w:eastAsia="Arial"/>
          <w:color w:val="000000"/>
          <w:szCs w:val="24"/>
        </w:rPr>
        <w:t xml:space="preserve">Part </w:t>
      </w:r>
      <w:r w:rsidR="002238CF" w:rsidRPr="006C68D3">
        <w:rPr>
          <w:rFonts w:eastAsia="Arial"/>
          <w:color w:val="000000"/>
          <w:szCs w:val="24"/>
        </w:rPr>
        <w:fldChar w:fldCharType="begin"/>
      </w:r>
      <w:r w:rsidR="002238CF" w:rsidRPr="006C68D3">
        <w:rPr>
          <w:rFonts w:eastAsia="Arial"/>
          <w:color w:val="000000"/>
          <w:szCs w:val="24"/>
        </w:rPr>
        <w:instrText xml:space="preserve"> REF Ann2_Part_A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color w:val="000000"/>
          <w:szCs w:val="24"/>
        </w:rPr>
        <w:t>A</w:t>
      </w:r>
      <w:r w:rsidR="002238CF" w:rsidRPr="006C68D3">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499D5786"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34337C2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ratings of each entity in the FDE Group with the Rating Agencies; and</w:t>
      </w:r>
    </w:p>
    <w:p w14:paraId="362FDC0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(and in any event within five (5) Working Days) notify the Buyer in writing if there is any downgrade in the credit rating issued by any Rating Agency for any entity in the FDE Group.</w:t>
      </w:r>
    </w:p>
    <w:p w14:paraId="651816C2" w14:textId="6DEC73DD"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5" w:name="_heading=h.3znysh7" w:colFirst="0" w:colLast="0"/>
      <w:bookmarkStart w:id="6" w:name="_Ref141086653"/>
      <w:bookmarkEnd w:id="5"/>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rating is the Primary Metric, the credit rating of an FDE Group entity shall be deemed to have dropped below the applicable Credit Rating Threshold if any of the Rating Agencies have given a credit rating level for that FDE Group entity which is  below the applicable Credit Rating Threshold.</w:t>
      </w:r>
      <w:bookmarkEnd w:id="6"/>
    </w:p>
    <w:p w14:paraId="682E0F1A"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Credit Scores</w:t>
      </w:r>
    </w:p>
    <w:p w14:paraId="4A065799" w14:textId="4A009A3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 xml:space="preserve">The Supplier warrants and represents to the Buyer that as at the </w:t>
      </w:r>
      <w:sdt>
        <w:sdtPr>
          <w:rPr>
            <w:szCs w:val="24"/>
          </w:rPr>
          <w:tag w:val="goog_rdk_2"/>
          <w:id w:val="-2107871411"/>
          <w:showingPlcHdr/>
        </w:sdtPr>
        <w:sdtEndPr/>
        <w:sdtContent>
          <w:r w:rsidR="006C68D3" w:rsidRPr="006C68D3">
            <w:rPr>
              <w:szCs w:val="24"/>
            </w:rPr>
            <w:t xml:space="preserve">     </w:t>
          </w:r>
        </w:sdtContent>
      </w:sdt>
      <w:sdt>
        <w:sdtPr>
          <w:rPr>
            <w:szCs w:val="24"/>
          </w:rPr>
          <w:tag w:val="goog_rdk_3"/>
          <w:id w:val="1228422318"/>
        </w:sdtPr>
        <w:sdtEndPr/>
        <w:sdtContent>
          <w:r w:rsidRPr="006C68D3">
            <w:rPr>
              <w:rFonts w:eastAsia="Calibri"/>
              <w:color w:val="000000"/>
              <w:szCs w:val="24"/>
            </w:rPr>
            <w:t>Effective</w:t>
          </w:r>
        </w:sdtContent>
      </w:sdt>
      <w:r w:rsidRPr="006C68D3">
        <w:rPr>
          <w:rFonts w:eastAsia="Calibri"/>
          <w:color w:val="000000"/>
          <w:szCs w:val="24"/>
        </w:rPr>
        <w:t xml:space="preserve"> Date the credit scores issued for each entity in the FDE Group by each of the Credit Reference Agencies are as set out in </w:t>
      </w:r>
      <w:r w:rsidR="002238CF">
        <w:rPr>
          <w:rFonts w:eastAsia="Arial"/>
          <w:color w:val="000000"/>
          <w:szCs w:val="24"/>
        </w:rPr>
        <w:t xml:space="preserve">Part </w:t>
      </w:r>
      <w:r w:rsidR="002238CF" w:rsidRPr="002238CF">
        <w:rPr>
          <w:rFonts w:eastAsia="Arial"/>
          <w:color w:val="000000"/>
          <w:szCs w:val="24"/>
        </w:rPr>
        <w:fldChar w:fldCharType="begin"/>
      </w:r>
      <w:r w:rsidR="002238CF" w:rsidRPr="002238CF">
        <w:rPr>
          <w:rFonts w:eastAsia="Arial"/>
          <w:color w:val="000000"/>
          <w:szCs w:val="24"/>
        </w:rPr>
        <w:instrText xml:space="preserve"> REF Ann2_Part_B \h  \* MERGEFORMAT </w:instrText>
      </w:r>
      <w:r w:rsidR="002238CF" w:rsidRPr="002238CF">
        <w:rPr>
          <w:rFonts w:eastAsia="Arial"/>
          <w:color w:val="000000"/>
          <w:szCs w:val="24"/>
        </w:rPr>
      </w:r>
      <w:r w:rsidR="002238CF" w:rsidRPr="002238CF">
        <w:rPr>
          <w:rFonts w:eastAsia="Arial"/>
          <w:color w:val="000000"/>
          <w:szCs w:val="24"/>
        </w:rPr>
        <w:fldChar w:fldCharType="separate"/>
      </w:r>
      <w:r w:rsidR="006772B1" w:rsidRPr="006772B1">
        <w:rPr>
          <w:rFonts w:eastAsia="Arial"/>
          <w:color w:val="000000"/>
          <w:szCs w:val="24"/>
        </w:rPr>
        <w:t>B</w:t>
      </w:r>
      <w:r w:rsidR="002238CF" w:rsidRPr="002238CF">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705B6BC9"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7E42EAB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scores of each entity in the FDE Group with the Credit Reference Agencies; and</w:t>
      </w:r>
    </w:p>
    <w:p w14:paraId="6834441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notify (or shall procure that its auditors promptly notify) the Buyer in writing if there is any Credit Score Notification Trigger Event for any entity in the FDE Group (and in any event within five (5) Working Days).</w:t>
      </w:r>
    </w:p>
    <w:p w14:paraId="38249100" w14:textId="2504DA0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7" w:name="_heading=h.1ci93xb" w:colFirst="0" w:colLast="0"/>
      <w:bookmarkStart w:id="8" w:name="_Ref141086657"/>
      <w:bookmarkEnd w:id="7"/>
      <w:r w:rsidRPr="006C68D3">
        <w:rPr>
          <w:rFonts w:eastAsia="Calibri"/>
          <w:color w:val="000000"/>
          <w:szCs w:val="24"/>
        </w:rPr>
        <w:lastRenderedPageBreak/>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bookmarkEnd w:id="8"/>
    </w:p>
    <w:p w14:paraId="6DDB8FC1"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Financial Indicators</w:t>
      </w:r>
    </w:p>
    <w:p w14:paraId="39E25FBF" w14:textId="69F77CFE" w:rsidR="00A731E1" w:rsidRPr="00922F47" w:rsidRDefault="00043197">
      <w:pPr>
        <w:numPr>
          <w:ilvl w:val="1"/>
          <w:numId w:val="2"/>
        </w:numPr>
        <w:pBdr>
          <w:top w:val="nil"/>
          <w:left w:val="nil"/>
          <w:bottom w:val="nil"/>
          <w:right w:val="nil"/>
          <w:between w:val="nil"/>
        </w:pBdr>
        <w:spacing w:before="120" w:after="120"/>
        <w:jc w:val="left"/>
        <w:rPr>
          <w:rFonts w:eastAsia="Calibri"/>
          <w:b/>
          <w:color w:val="000000"/>
          <w:szCs w:val="24"/>
        </w:rPr>
      </w:pPr>
      <w:bookmarkStart w:id="9" w:name="_heading=h.3whwml4" w:colFirst="0" w:colLast="0"/>
      <w:bookmarkStart w:id="10" w:name="_Ref141087035"/>
      <w:bookmarkEnd w:id="9"/>
      <w:r w:rsidRPr="006C68D3">
        <w:rPr>
          <w:rFonts w:eastAsia="Calibri"/>
          <w:color w:val="000000"/>
          <w:szCs w:val="24"/>
        </w:rPr>
        <w:t xml:space="preserve">The Supplier shall monitor and report on the Financial Indicators for each entity in the FDE Group against the Financial Target Thresholds at least at the frequency set out for each at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 xml:space="preserve">(where specified) and in any event, on a regular basis and no less than once a year within one hundred and twenty (120) days after the </w:t>
      </w:r>
      <w:r w:rsidRPr="00922F47">
        <w:rPr>
          <w:rFonts w:eastAsia="Calibri"/>
          <w:color w:val="000000"/>
          <w:szCs w:val="24"/>
        </w:rPr>
        <w:t>accounting reference date</w:t>
      </w:r>
      <w:bookmarkEnd w:id="10"/>
    </w:p>
    <w:p w14:paraId="3C7FFDCD" w14:textId="54E4FB6A" w:rsidR="00A731E1" w:rsidRPr="006C68D3" w:rsidRDefault="00043197">
      <w:pPr>
        <w:numPr>
          <w:ilvl w:val="1"/>
          <w:numId w:val="2"/>
        </w:numPr>
        <w:pBdr>
          <w:top w:val="nil"/>
          <w:left w:val="nil"/>
          <w:bottom w:val="nil"/>
          <w:right w:val="nil"/>
          <w:between w:val="nil"/>
        </w:pBdr>
        <w:spacing w:before="120" w:after="120"/>
        <w:jc w:val="left"/>
        <w:rPr>
          <w:rFonts w:eastAsia="Calibri"/>
          <w:b/>
          <w:color w:val="000000"/>
          <w:szCs w:val="24"/>
        </w:rPr>
      </w:pPr>
      <w:r w:rsidRPr="00922F47">
        <w:rPr>
          <w:rFonts w:eastAsia="Calibri"/>
          <w:color w:val="000000"/>
          <w:szCs w:val="24"/>
        </w:rPr>
        <w:t xml:space="preserve">Subject to the calculation methodology set out at Annex 4 of this Schedule, the Financial Indicators and the corresponding calculations and thresholds used to determine whether a Financial Distress Event has occurred in respect of those Financial Indicators, shall be as set out in Appendix I: Standard Financial Ratios of </w:t>
      </w:r>
      <w:r w:rsidRPr="00922F47">
        <w:rPr>
          <w:rFonts w:eastAsia="Calibri"/>
          <w:i/>
          <w:color w:val="000000"/>
          <w:szCs w:val="24"/>
        </w:rPr>
        <w:t xml:space="preserve">Assessing and Monitoring the Economic and Financial Standing of Bidders and Suppliers – May 2021 </w:t>
      </w:r>
      <w:r w:rsidRPr="00922F47">
        <w:rPr>
          <w:rFonts w:eastAsia="Calibri"/>
          <w:color w:val="000000"/>
          <w:szCs w:val="24"/>
        </w:rPr>
        <w:t>(as amended</w:t>
      </w:r>
      <w:r w:rsidRPr="006C68D3">
        <w:rPr>
          <w:rFonts w:eastAsia="Calibri"/>
          <w:color w:val="000000"/>
          <w:szCs w:val="24"/>
        </w:rPr>
        <w:t xml:space="preserve">, supplemented or replaced from time to time) which as at the </w:t>
      </w:r>
      <w:sdt>
        <w:sdtPr>
          <w:rPr>
            <w:szCs w:val="24"/>
          </w:rPr>
          <w:tag w:val="goog_rdk_4"/>
          <w:id w:val="929930599"/>
        </w:sdtPr>
        <w:sdtEndPr/>
        <w:sdtContent>
          <w:r w:rsidR="002238CF" w:rsidRPr="006C68D3">
            <w:rPr>
              <w:rFonts w:eastAsia="Calibri"/>
              <w:color w:val="000000"/>
              <w:szCs w:val="24"/>
            </w:rPr>
            <w:t>Effective</w:t>
          </w:r>
        </w:sdtContent>
      </w:sdt>
      <w:sdt>
        <w:sdtPr>
          <w:rPr>
            <w:szCs w:val="24"/>
          </w:rPr>
          <w:tag w:val="goog_rdk_5"/>
          <w:id w:val="-345638145"/>
          <w:showingPlcHdr/>
        </w:sdtPr>
        <w:sdtEndPr/>
        <w:sdtContent>
          <w:r w:rsidR="006C68D3" w:rsidRPr="006C68D3">
            <w:rPr>
              <w:szCs w:val="24"/>
            </w:rPr>
            <w:t xml:space="preserve">     </w:t>
          </w:r>
        </w:sdtContent>
      </w:sdt>
      <w:r w:rsidRPr="006C68D3">
        <w:rPr>
          <w:rFonts w:eastAsia="Calibri"/>
          <w:color w:val="000000"/>
          <w:szCs w:val="24"/>
        </w:rPr>
        <w:t xml:space="preserve"> Date can be found at:</w:t>
      </w:r>
    </w:p>
    <w:p w14:paraId="15386C07" w14:textId="7DB793B2" w:rsidR="00A731E1" w:rsidRPr="006C68D3" w:rsidRDefault="00C67AE9" w:rsidP="002238CF">
      <w:pPr>
        <w:pBdr>
          <w:top w:val="nil"/>
          <w:left w:val="nil"/>
          <w:bottom w:val="nil"/>
          <w:right w:val="nil"/>
          <w:between w:val="nil"/>
        </w:pBdr>
        <w:spacing w:before="120" w:after="120"/>
        <w:ind w:left="907" w:firstLine="20"/>
        <w:jc w:val="left"/>
        <w:rPr>
          <w:rFonts w:eastAsia="Calibri"/>
          <w:color w:val="000000"/>
          <w:szCs w:val="24"/>
        </w:rPr>
      </w:pPr>
      <w:hyperlink r:id="rId8">
        <w:r w:rsidR="00043197" w:rsidRPr="006C68D3">
          <w:rPr>
            <w:rFonts w:eastAsia="Calibri"/>
            <w:color w:val="0000FF"/>
            <w:szCs w:val="24"/>
            <w:u w:val="single"/>
          </w:rPr>
          <w:t>https://assets.publishing.service.gov.uk/government/uploads/system/uploads/attachment_data/file/987132/Assessing_and_monitoring_the_economic_and_financial_standing_of_suppliers_guidance_note_May_2021.pdf</w:t>
        </w:r>
      </w:hyperlink>
      <w:r w:rsidR="00043197" w:rsidRPr="006C68D3">
        <w:rPr>
          <w:rFonts w:eastAsia="Calibri"/>
          <w:color w:val="000000"/>
          <w:szCs w:val="24"/>
        </w:rPr>
        <w:t xml:space="preserve"> </w:t>
      </w:r>
    </w:p>
    <w:p w14:paraId="3095181E" w14:textId="47F0E49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1" w:name="_heading=h.2bn6wsx" w:colFirst="0" w:colLast="0"/>
      <w:bookmarkStart w:id="12" w:name="_Ref141087084"/>
      <w:bookmarkEnd w:id="11"/>
      <w:r w:rsidRPr="006C68D3">
        <w:rPr>
          <w:rFonts w:eastAsia="Calibri"/>
          <w:color w:val="000000"/>
          <w:szCs w:val="24"/>
        </w:rPr>
        <w:t xml:space="preserve">Each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Pr="006C68D3">
        <w:rPr>
          <w:rFonts w:eastAsia="Calibri"/>
          <w:color w:val="000000"/>
          <w:szCs w:val="24"/>
        </w:rPr>
        <w:t xml:space="preserve"> shall:</w:t>
      </w:r>
      <w:bookmarkEnd w:id="12"/>
    </w:p>
    <w:p w14:paraId="62CB0CF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be a single report with separate sections for each of the FDE Group entities;</w:t>
      </w:r>
    </w:p>
    <w:p w14:paraId="22BE3AC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contain a sufficient level of information to enable the Buyer to verify the calculations that have been made in respect of the Financial Indicators;</w:t>
      </w:r>
    </w:p>
    <w:p w14:paraId="5E8EF3B2" w14:textId="2A79E90E" w:rsidR="00A731E1" w:rsidRPr="006C68D3" w:rsidRDefault="00043197" w:rsidP="000A02B3">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include key financial and other supporting information (including any accounts data that has been relied on) as separate annexes;</w:t>
      </w:r>
    </w:p>
    <w:p w14:paraId="2D27EE79" w14:textId="4D27A558"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3" w:name="_heading=h.qsh70q" w:colFirst="0" w:colLast="0"/>
      <w:bookmarkStart w:id="14" w:name="_Ref141086662"/>
      <w:bookmarkEnd w:id="13"/>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financial indicators are the Primary Metric, the Financial Indicator of an FDE Group entity shall be deemed to have dropped below the applicable Financial Target Threshold if:</w:t>
      </w:r>
      <w:bookmarkEnd w:id="14"/>
    </w:p>
    <w:p w14:paraId="6FF466A1" w14:textId="21EE87BE"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shows that any FDE Group entity has failed to meet or exceed the Financial Target Threshold for any of the Financial Indicators set out in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of this Schedule;</w:t>
      </w:r>
    </w:p>
    <w:p w14:paraId="0E12240E" w14:textId="2CEC8102"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lastRenderedPageBreak/>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does not comply with the requirements set out in Paragraph </w:t>
      </w:r>
      <w:r w:rsidR="002238CF">
        <w:rPr>
          <w:rFonts w:eastAsia="Calibri"/>
          <w:color w:val="000000"/>
          <w:szCs w:val="24"/>
        </w:rPr>
        <w:fldChar w:fldCharType="begin"/>
      </w:r>
      <w:r w:rsidR="002238CF">
        <w:rPr>
          <w:rFonts w:eastAsia="Calibri"/>
          <w:color w:val="000000"/>
          <w:szCs w:val="24"/>
        </w:rPr>
        <w:instrText xml:space="preserve"> REF _Ref141087084 \n \h  \* MERGEFORMAT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or</w:t>
      </w:r>
    </w:p>
    <w:p w14:paraId="68FDE069" w14:textId="01EEC9B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the Supplier does not deliver a report pursuant to Paragraph </w:t>
      </w:r>
      <w:r w:rsidR="002238CF">
        <w:rPr>
          <w:rFonts w:eastAsia="Calibri"/>
          <w:color w:val="000000"/>
          <w:szCs w:val="24"/>
        </w:rPr>
        <w:fldChar w:fldCharType="begin"/>
      </w:r>
      <w:r w:rsidR="002238CF">
        <w:rPr>
          <w:rFonts w:eastAsia="Calibri"/>
          <w:color w:val="000000"/>
          <w:szCs w:val="24"/>
        </w:rPr>
        <w:instrText xml:space="preserve"> REF _Ref141087084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xml:space="preserve"> in accordance with the applicable monitoring and reporting frequency.</w:t>
      </w:r>
    </w:p>
    <w:p w14:paraId="6E97063E"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15" w:name="_heading=h.3as4poj" w:colFirst="0" w:colLast="0"/>
      <w:bookmarkStart w:id="16" w:name="_Ref141087349"/>
      <w:bookmarkEnd w:id="15"/>
      <w:r w:rsidRPr="006C68D3">
        <w:rPr>
          <w:rFonts w:eastAsia="Calibri"/>
          <w:b/>
          <w:color w:val="000000"/>
          <w:szCs w:val="24"/>
        </w:rPr>
        <w:t>What happens if there is a financial distress event</w:t>
      </w:r>
      <w:bookmarkEnd w:id="16"/>
    </w:p>
    <w:p w14:paraId="32D75A28"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7" w:name="_heading=h.2et92p0" w:colFirst="0" w:colLast="0"/>
      <w:bookmarkStart w:id="18" w:name="_Ref141087254"/>
      <w:bookmarkEnd w:id="17"/>
      <w:r w:rsidRPr="006C68D3">
        <w:rPr>
          <w:rFonts w:eastAsia="Calibri"/>
          <w:color w:val="000000"/>
          <w:szCs w:val="24"/>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8"/>
    </w:p>
    <w:p w14:paraId="0AAA7E16" w14:textId="51316820"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 xml:space="preserve"> 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w:t>
      </w:r>
    </w:p>
    <w:p w14:paraId="44EAF64C"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19" w:name="_heading=h.tyjcwt" w:colFirst="0" w:colLast="0"/>
      <w:bookmarkStart w:id="20" w:name="_heading=h.1t3h5sf" w:colFirst="0" w:colLast="0"/>
      <w:bookmarkStart w:id="21" w:name="_Ref141087122"/>
      <w:bookmarkEnd w:id="19"/>
      <w:bookmarkEnd w:id="20"/>
      <w:r w:rsidRPr="006C68D3">
        <w:rPr>
          <w:rFonts w:eastAsia="Calibri"/>
          <w:color w:val="000000"/>
          <w:szCs w:val="24"/>
        </w:rPr>
        <w:t>The Supplier shall (and shall procure that each Additional FDE Group Member shall):</w:t>
      </w:r>
      <w:bookmarkEnd w:id="21"/>
    </w:p>
    <w:p w14:paraId="04F7A232" w14:textId="21CC1EB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2" w:name="_heading=h.4d34og8" w:colFirst="0" w:colLast="0"/>
      <w:bookmarkStart w:id="23" w:name="_Ref141087182"/>
      <w:bookmarkEnd w:id="22"/>
      <w:r w:rsidRPr="006C68D3">
        <w:rPr>
          <w:rFonts w:eastAsia="Calibri"/>
          <w:color w:val="000000"/>
          <w:szCs w:val="24"/>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t>
      </w:r>
      <w:r w:rsidR="00BE660D">
        <w:rPr>
          <w:rFonts w:eastAsia="Calibri"/>
          <w:color w:val="000000"/>
          <w:szCs w:val="24"/>
        </w:rPr>
        <w:t>this Contract</w:t>
      </w:r>
      <w:r w:rsidRPr="006C68D3">
        <w:rPr>
          <w:rFonts w:eastAsia="Calibri"/>
          <w:color w:val="000000"/>
          <w:szCs w:val="24"/>
        </w:rPr>
        <w:t>; and</w:t>
      </w:r>
      <w:bookmarkEnd w:id="23"/>
    </w:p>
    <w:p w14:paraId="2B1610D0" w14:textId="0F2F26F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4" w:name="_heading=h.2s8eyo1" w:colFirst="0" w:colLast="0"/>
      <w:bookmarkEnd w:id="24"/>
      <w:r w:rsidRPr="006C68D3">
        <w:rPr>
          <w:rFonts w:eastAsia="Calibri"/>
          <w:color w:val="000000"/>
          <w:szCs w:val="24"/>
        </w:rPr>
        <w:t>where the Buyer reasonably believes (taking into account the discussions and any representations made under Paragraph </w:t>
      </w:r>
      <w:r w:rsidR="002238CF">
        <w:rPr>
          <w:rFonts w:eastAsia="Calibri"/>
          <w:color w:val="000000"/>
          <w:szCs w:val="24"/>
        </w:rPr>
        <w:fldChar w:fldCharType="begin"/>
      </w:r>
      <w:r w:rsidR="002238CF">
        <w:rPr>
          <w:rFonts w:eastAsia="Calibri"/>
          <w:color w:val="000000"/>
          <w:szCs w:val="24"/>
        </w:rPr>
        <w:instrText xml:space="preserve"> REF _Ref141087182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6.4.1</w:t>
      </w:r>
      <w:r w:rsidR="002238CF">
        <w:rPr>
          <w:rFonts w:eastAsia="Calibri"/>
          <w:color w:val="000000"/>
          <w:szCs w:val="24"/>
        </w:rPr>
        <w:fldChar w:fldCharType="end"/>
      </w:r>
      <w:r w:rsidRPr="006C68D3">
        <w:rPr>
          <w:rFonts w:eastAsia="Calibri"/>
          <w:color w:val="000000"/>
          <w:szCs w:val="24"/>
        </w:rPr>
        <w:t xml:space="preserve">) that the Financial Distress Event could impact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 xml:space="preserve">: </w:t>
      </w:r>
    </w:p>
    <w:p w14:paraId="088FBB55" w14:textId="77777777" w:rsidR="00A731E1" w:rsidRPr="006C68D3" w:rsidRDefault="00043197" w:rsidP="002238CF">
      <w:pPr>
        <w:pStyle w:val="GPSL4numbered"/>
        <w:rPr>
          <w:rFonts w:eastAsia="Calibri"/>
        </w:rPr>
      </w:pPr>
      <w:r w:rsidRPr="006C68D3">
        <w:rPr>
          <w:rFonts w:eastAsia="Calibri"/>
        </w:rPr>
        <w:t xml:space="preserve">submit to the Buyer for its Approval, a draft Financial Distress Service Continuity Plan as soon as reasonably practicable (and in any event, within ten (10) Working Days of the initial notification (or awareness) of the Financial Distress Event); </w:t>
      </w:r>
    </w:p>
    <w:p w14:paraId="0D124F19"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r w:rsidRPr="006C68D3">
        <w:rPr>
          <w:rFonts w:eastAsia="Calibri"/>
          <w:color w:val="000000"/>
          <w:szCs w:val="24"/>
        </w:rPr>
        <w:t>use reasonable endeavours to put in place the necessary measures with each Additional FDE Group Member to ensure that it is able to provide financial information relating to that Additional FDE Group Member to the Buyer; and</w:t>
      </w:r>
    </w:p>
    <w:p w14:paraId="127133CC"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bookmarkStart w:id="25" w:name="_heading=h.17dp8vu" w:colFirst="0" w:colLast="0"/>
      <w:bookmarkStart w:id="26" w:name="_Ref141087374"/>
      <w:bookmarkEnd w:id="25"/>
      <w:r w:rsidRPr="006C68D3">
        <w:rPr>
          <w:rFonts w:eastAsia="Calibri"/>
          <w:color w:val="000000"/>
          <w:szCs w:val="24"/>
        </w:rPr>
        <w:t>provide such financial information relating to FDE Group entity as the Buyer may reasonably require.</w:t>
      </w:r>
      <w:bookmarkEnd w:id="26"/>
    </w:p>
    <w:p w14:paraId="1BDCD80D"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27" w:name="_heading=h.3rdcrjn" w:colFirst="0" w:colLast="0"/>
      <w:bookmarkStart w:id="28" w:name="_Ref141087221"/>
      <w:bookmarkEnd w:id="27"/>
      <w:r w:rsidRPr="006C68D3">
        <w:rPr>
          <w:rFonts w:eastAsia="Calibri"/>
          <w:color w:val="000000"/>
          <w:szCs w:val="24"/>
        </w:rPr>
        <w:lastRenderedPageBreak/>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either:</w:t>
      </w:r>
      <w:bookmarkEnd w:id="28"/>
    </w:p>
    <w:p w14:paraId="0259346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Approved; </w:t>
      </w:r>
    </w:p>
    <w:p w14:paraId="333B35E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9" w:name="_heading=h.1pxezwc" w:colFirst="0" w:colLast="0"/>
      <w:bookmarkStart w:id="30" w:name="_Ref141087280"/>
      <w:bookmarkEnd w:id="29"/>
      <w:r w:rsidRPr="006C68D3">
        <w:rPr>
          <w:rFonts w:eastAsia="Calibri"/>
          <w:color w:val="000000"/>
          <w:szCs w:val="24"/>
        </w:rPr>
        <w:t>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w:t>
      </w:r>
      <w:bookmarkEnd w:id="30"/>
      <w:r w:rsidRPr="006C68D3">
        <w:rPr>
          <w:rFonts w:eastAsia="Calibri"/>
          <w:color w:val="000000"/>
          <w:szCs w:val="24"/>
        </w:rPr>
        <w:t xml:space="preserve"> </w:t>
      </w:r>
    </w:p>
    <w:p w14:paraId="0190598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1" w:name="_heading=h.49x2ik5" w:colFirst="0" w:colLast="0"/>
      <w:bookmarkStart w:id="32" w:name="_Ref141087274"/>
      <w:bookmarkEnd w:id="31"/>
      <w:r w:rsidRPr="006C68D3">
        <w:rPr>
          <w:rFonts w:eastAsia="Calibri"/>
          <w:color w:val="000000"/>
          <w:szCs w:val="24"/>
        </w:rPr>
        <w:t>finally rejected by the Buyer.</w:t>
      </w:r>
      <w:bookmarkEnd w:id="32"/>
    </w:p>
    <w:p w14:paraId="19C87D9F"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33" w:name="_heading=h.lnxbz9" w:colFirst="0" w:colLast="0"/>
      <w:bookmarkStart w:id="34" w:name="_Ref141087127"/>
      <w:bookmarkEnd w:id="33"/>
      <w:r w:rsidRPr="006C68D3">
        <w:rPr>
          <w:rFonts w:eastAsia="Calibri"/>
          <w:color w:val="000000"/>
          <w:szCs w:val="24"/>
        </w:rPr>
        <w:t>Following Approval of the Financial Distress Service Continuity Plan by the Buyer, the Supplier shall:</w:t>
      </w:r>
      <w:bookmarkEnd w:id="34"/>
    </w:p>
    <w:p w14:paraId="3B87F8DB" w14:textId="0E6D90E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5" w:name="_heading=h.35nkun2" w:colFirst="0" w:colLast="0"/>
      <w:bookmarkStart w:id="36" w:name="_Ref141087211"/>
      <w:bookmarkEnd w:id="35"/>
      <w:r w:rsidRPr="006C68D3">
        <w:rPr>
          <w:rFonts w:eastAsia="Calibri"/>
          <w:color w:val="000000"/>
          <w:szCs w:val="24"/>
        </w:rPr>
        <w:t xml:space="preserve">on a regular basis (which shall not be less than Monthly), review the Financial Distress Service Continuity Plan and assess whether it remains adequate and up to date to ensure the continued performance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w:t>
      </w:r>
      <w:bookmarkEnd w:id="36"/>
    </w:p>
    <w:p w14:paraId="6A62C275" w14:textId="75B1BC4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provide a written report of the results of each review and assessment carried out under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to the Buyer;</w:t>
      </w:r>
    </w:p>
    <w:p w14:paraId="69CB0361" w14:textId="55D0DE3D"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7" w:name="_heading=h.1ksv4uv" w:colFirst="0" w:colLast="0"/>
      <w:bookmarkEnd w:id="37"/>
      <w:r w:rsidRPr="006C68D3">
        <w:rPr>
          <w:rFonts w:eastAsia="Calibri"/>
          <w:color w:val="000000"/>
          <w:szCs w:val="24"/>
        </w:rPr>
        <w:t>where the Financial Distress Service Continuity Plan is not adequate or up to date in accordance with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Pr="006C68D3">
        <w:rPr>
          <w:rFonts w:eastAsia="Calibri"/>
          <w:color w:val="000000"/>
          <w:szCs w:val="24"/>
        </w:rPr>
        <w:t>, submit an updated Financial Distress Service Continuity Plan to the Buyer for its Approval, and the provisions of Paragraphs </w:t>
      </w:r>
      <w:r w:rsidR="002238CF">
        <w:rPr>
          <w:rFonts w:eastAsia="Calibri"/>
          <w:color w:val="000000"/>
          <w:szCs w:val="24"/>
        </w:rPr>
        <w:fldChar w:fldCharType="begin"/>
      </w:r>
      <w:r w:rsidR="002238CF">
        <w:rPr>
          <w:rFonts w:eastAsia="Calibri"/>
          <w:color w:val="000000"/>
          <w:szCs w:val="24"/>
        </w:rPr>
        <w:instrText xml:space="preserve"> REF _Ref141087221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w:t>
      </w:r>
      <w:r w:rsidR="002238CF">
        <w:rPr>
          <w:rFonts w:eastAsia="Calibri"/>
          <w:color w:val="000000"/>
          <w:szCs w:val="24"/>
        </w:rPr>
        <w:fldChar w:fldCharType="end"/>
      </w:r>
      <w:r w:rsidRPr="006C68D3">
        <w:rPr>
          <w:rFonts w:eastAsia="Calibri"/>
          <w:color w:val="000000"/>
          <w:szCs w:val="24"/>
        </w:rPr>
        <w:t xml:space="preserve"> shall apply to the review and Approval process for the updated Financial Distress Service Continuity Plan; and </w:t>
      </w:r>
    </w:p>
    <w:p w14:paraId="2C4D8A43"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8" w:name="_heading=h.44sinio" w:colFirst="0" w:colLast="0"/>
      <w:bookmarkStart w:id="39" w:name="_Ref141087302"/>
      <w:bookmarkEnd w:id="38"/>
      <w:r w:rsidRPr="006C68D3">
        <w:rPr>
          <w:rFonts w:eastAsia="Calibri"/>
          <w:color w:val="000000"/>
          <w:szCs w:val="24"/>
        </w:rPr>
        <w:t>comply with the Financial Distress Service Continuity Plan (including any updated Financial Distress Service Continuity Plan).</w:t>
      </w:r>
      <w:bookmarkEnd w:id="39"/>
    </w:p>
    <w:p w14:paraId="35BE0701" w14:textId="6B635406" w:rsidR="00A731E1" w:rsidRPr="006C68D3" w:rsidRDefault="00043197" w:rsidP="002238CF">
      <w:pPr>
        <w:keepNext/>
        <w:keepLines/>
        <w:numPr>
          <w:ilvl w:val="1"/>
          <w:numId w:val="2"/>
        </w:numPr>
        <w:pBdr>
          <w:top w:val="nil"/>
          <w:left w:val="nil"/>
          <w:bottom w:val="nil"/>
          <w:right w:val="nil"/>
          <w:between w:val="nil"/>
        </w:pBdr>
        <w:spacing w:before="120" w:after="120"/>
        <w:ind w:left="901" w:hanging="544"/>
        <w:jc w:val="left"/>
        <w:rPr>
          <w:rFonts w:eastAsia="Calibri"/>
          <w:color w:val="000000"/>
          <w:szCs w:val="24"/>
        </w:rPr>
      </w:pPr>
      <w:bookmarkStart w:id="40" w:name="_heading=h.2jxsxqh" w:colFirst="0" w:colLast="0"/>
      <w:bookmarkEnd w:id="40"/>
      <w:r w:rsidRPr="006C68D3">
        <w:rPr>
          <w:rFonts w:eastAsia="Calibri"/>
          <w:color w:val="000000"/>
          <w:szCs w:val="24"/>
        </w:rP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xml:space="preserve">. </w:t>
      </w:r>
    </w:p>
    <w:p w14:paraId="561F82F6"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1" w:name="_heading=h.2p2csry" w:colFirst="0" w:colLast="0"/>
      <w:bookmarkEnd w:id="41"/>
      <w:r w:rsidRPr="006C68D3">
        <w:rPr>
          <w:rFonts w:eastAsia="Calibri"/>
          <w:b/>
          <w:color w:val="000000"/>
          <w:szCs w:val="24"/>
        </w:rPr>
        <w:t xml:space="preserve">When the Buyer can terminate for financial distress </w:t>
      </w:r>
    </w:p>
    <w:p w14:paraId="11EFE9CB" w14:textId="3E458C4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2" w:name="_heading=h.z337ya" w:colFirst="0" w:colLast="0"/>
      <w:bookmarkEnd w:id="42"/>
      <w:r w:rsidRPr="006C68D3">
        <w:rPr>
          <w:rFonts w:eastAsia="Calibri"/>
          <w:color w:val="000000"/>
          <w:szCs w:val="24"/>
        </w:rPr>
        <w:t xml:space="preserve">The Buyer shall be entitled to terminate this Contract for </w:t>
      </w:r>
      <w:sdt>
        <w:sdtPr>
          <w:rPr>
            <w:szCs w:val="24"/>
          </w:rPr>
          <w:tag w:val="goog_rdk_6"/>
          <w:id w:val="1883447153"/>
        </w:sdtPr>
        <w:sdtEndPr/>
        <w:sdtContent>
          <w:r w:rsidRPr="006C68D3">
            <w:rPr>
              <w:rFonts w:eastAsia="Calibri"/>
              <w:color w:val="000000"/>
              <w:szCs w:val="24"/>
            </w:rPr>
            <w:t>M</w:t>
          </w:r>
        </w:sdtContent>
      </w:sdt>
      <w:r w:rsidRPr="006C68D3">
        <w:rPr>
          <w:rFonts w:eastAsia="Calibri"/>
          <w:color w:val="000000"/>
          <w:szCs w:val="24"/>
        </w:rPr>
        <w:t xml:space="preserve">aterial Default if: </w:t>
      </w:r>
    </w:p>
    <w:p w14:paraId="3BE8BCBB" w14:textId="50CBA93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notify the Buyer of a Financial Distress Event in accordance with Paragraph </w:t>
      </w:r>
      <w:r w:rsidR="002238CF">
        <w:rPr>
          <w:rFonts w:eastAsia="Calibri"/>
          <w:color w:val="000000"/>
          <w:szCs w:val="24"/>
        </w:rPr>
        <w:fldChar w:fldCharType="begin"/>
      </w:r>
      <w:r w:rsidR="002238CF">
        <w:rPr>
          <w:rFonts w:eastAsia="Calibri"/>
          <w:color w:val="000000"/>
          <w:szCs w:val="24"/>
        </w:rPr>
        <w:instrText xml:space="preserve"> REF _Ref141087254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6.1</w:t>
      </w:r>
      <w:r w:rsidR="002238CF">
        <w:rPr>
          <w:rFonts w:eastAsia="Calibri"/>
          <w:color w:val="000000"/>
          <w:szCs w:val="24"/>
        </w:rPr>
        <w:fldChar w:fldCharType="end"/>
      </w:r>
      <w:r w:rsidRPr="006C68D3">
        <w:rPr>
          <w:rFonts w:eastAsia="Calibri"/>
          <w:color w:val="000000"/>
          <w:szCs w:val="24"/>
        </w:rPr>
        <w:t xml:space="preserve">; </w:t>
      </w:r>
    </w:p>
    <w:p w14:paraId="6A9D1D4F" w14:textId="1F3B9A2C"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lastRenderedPageBreak/>
        <w:t xml:space="preserve">the Supplier fails to comply with any part of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w:t>
      </w:r>
    </w:p>
    <w:p w14:paraId="287A5590" w14:textId="33CB601F"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bookmarkStart w:id="43" w:name="_heading=h.147n2zr" w:colFirst="0" w:colLast="0"/>
      <w:bookmarkStart w:id="44" w:name="_Ref141087328"/>
      <w:bookmarkEnd w:id="43"/>
      <w:r w:rsidRPr="006C68D3">
        <w:rPr>
          <w:rFonts w:eastAsia="Calibri"/>
          <w:color w:val="000000"/>
          <w:szCs w:val="24"/>
        </w:rPr>
        <w:t xml:space="preserve">subject to Paragraph </w:t>
      </w:r>
      <w:r w:rsidR="002238CF">
        <w:rPr>
          <w:rFonts w:eastAsia="Calibri"/>
          <w:color w:val="000000"/>
          <w:szCs w:val="24"/>
        </w:rPr>
        <w:fldChar w:fldCharType="begin"/>
      </w:r>
      <w:r w:rsidR="002238CF">
        <w:rPr>
          <w:rFonts w:eastAsia="Calibri"/>
          <w:color w:val="000000"/>
          <w:szCs w:val="24"/>
        </w:rPr>
        <w:instrText xml:space="preserve"> REF _Ref141087270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7.2</w:t>
      </w:r>
      <w:r w:rsidR="002238CF">
        <w:rPr>
          <w:rFonts w:eastAsia="Calibri"/>
          <w:color w:val="000000"/>
          <w:szCs w:val="24"/>
        </w:rPr>
        <w:fldChar w:fldCharType="end"/>
      </w:r>
      <w:r w:rsidRPr="006C68D3">
        <w:rPr>
          <w:rFonts w:eastAsia="Calibri"/>
          <w:color w:val="000000"/>
          <w:szCs w:val="24"/>
        </w:rPr>
        <w:t>, the Buyer finally rejects a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_Ref141087274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6.5.3</w:t>
      </w:r>
      <w:r w:rsidR="002238CF">
        <w:rPr>
          <w:rFonts w:eastAsia="Calibri"/>
          <w:color w:val="000000"/>
          <w:szCs w:val="24"/>
        </w:rPr>
        <w:fldChar w:fldCharType="end"/>
      </w:r>
      <w:r w:rsidRPr="006C68D3">
        <w:rPr>
          <w:rFonts w:eastAsia="Calibri"/>
          <w:color w:val="000000"/>
          <w:szCs w:val="24"/>
        </w:rPr>
        <w:t>;</w:t>
      </w:r>
      <w:bookmarkEnd w:id="44"/>
      <w:r w:rsidRPr="006C68D3">
        <w:rPr>
          <w:rFonts w:eastAsia="Calibri"/>
          <w:color w:val="000000"/>
          <w:szCs w:val="24"/>
        </w:rPr>
        <w:t xml:space="preserve"> </w:t>
      </w:r>
    </w:p>
    <w:p w14:paraId="7831446F" w14:textId="7927C1E0"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meet within 28 days of the date of the notice of referral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w:t>
      </w:r>
    </w:p>
    <w:p w14:paraId="151B4F56" w14:textId="5A059B0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agree the Financial Distress Service Continuity Plan after it has been referred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 and/or</w:t>
      </w:r>
    </w:p>
    <w:p w14:paraId="53BF5734" w14:textId="66BCD39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comply with the terms of the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_Ref141087302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6.6.4</w:t>
      </w:r>
      <w:r w:rsidR="002238CF">
        <w:rPr>
          <w:rFonts w:eastAsia="Calibri"/>
          <w:color w:val="000000"/>
          <w:szCs w:val="24"/>
        </w:rPr>
        <w:fldChar w:fldCharType="end"/>
      </w:r>
      <w:r w:rsidRPr="006C68D3">
        <w:rPr>
          <w:rFonts w:eastAsia="Calibri"/>
          <w:color w:val="000000"/>
          <w:szCs w:val="24"/>
        </w:rPr>
        <w:t>,</w:t>
      </w:r>
    </w:p>
    <w:p w14:paraId="6E81523C" w14:textId="799A6A67" w:rsidR="00A731E1" w:rsidRPr="006C68D3" w:rsidRDefault="00043197" w:rsidP="006C68D3">
      <w:pPr>
        <w:pBdr>
          <w:top w:val="nil"/>
          <w:left w:val="nil"/>
          <w:bottom w:val="nil"/>
          <w:right w:val="nil"/>
          <w:between w:val="nil"/>
        </w:pBdr>
        <w:ind w:left="187" w:firstLine="720"/>
        <w:jc w:val="left"/>
        <w:rPr>
          <w:rFonts w:eastAsia="Calibri"/>
          <w:color w:val="000000"/>
          <w:szCs w:val="24"/>
        </w:rPr>
      </w:pPr>
      <w:r w:rsidRPr="006C68D3">
        <w:rPr>
          <w:rFonts w:eastAsia="Calibri"/>
          <w:color w:val="000000"/>
          <w:szCs w:val="24"/>
        </w:rPr>
        <w:t>and the consequences of termination in Clause 14.5.1 shall apply.</w:t>
      </w:r>
    </w:p>
    <w:p w14:paraId="723CBAA9" w14:textId="2A74508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5" w:name="_heading=h.3o7alnk" w:colFirst="0" w:colLast="0"/>
      <w:bookmarkStart w:id="46" w:name="_Ref141087270"/>
      <w:bookmarkEnd w:id="45"/>
      <w:r w:rsidRPr="006C68D3">
        <w:rPr>
          <w:rFonts w:eastAsia="Calibri"/>
          <w:color w:val="000000"/>
          <w:szCs w:val="24"/>
        </w:rPr>
        <w:t xml:space="preserve">A </w:t>
      </w:r>
      <w:sdt>
        <w:sdtPr>
          <w:rPr>
            <w:szCs w:val="24"/>
          </w:rPr>
          <w:tag w:val="goog_rdk_13"/>
          <w:id w:val="1586336886"/>
        </w:sdtPr>
        <w:sdtEndPr/>
        <w:sdtContent>
          <w:r w:rsidRPr="006C68D3">
            <w:rPr>
              <w:rFonts w:eastAsia="Calibri"/>
              <w:color w:val="000000"/>
              <w:szCs w:val="24"/>
            </w:rPr>
            <w:t>M</w:t>
          </w:r>
        </w:sdtContent>
      </w:sdt>
      <w:r w:rsidRPr="006C68D3">
        <w:rPr>
          <w:rFonts w:eastAsia="Calibri"/>
          <w:color w:val="000000"/>
          <w:szCs w:val="24"/>
        </w:rPr>
        <w:t xml:space="preserve">aterial Default may only occur under Paragraph </w:t>
      </w:r>
      <w:r w:rsidR="002238CF">
        <w:rPr>
          <w:rFonts w:eastAsia="Calibri"/>
          <w:color w:val="000000"/>
          <w:szCs w:val="24"/>
        </w:rPr>
        <w:fldChar w:fldCharType="begin"/>
      </w:r>
      <w:r w:rsidR="002238CF">
        <w:rPr>
          <w:rFonts w:eastAsia="Calibri"/>
          <w:color w:val="000000"/>
          <w:szCs w:val="24"/>
        </w:rPr>
        <w:instrText xml:space="preserve"> REF _Ref141087328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7.1.3</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after the expiry of the first five (5) Working Days period for the Supplier to submit a revised draft of the first draft of the Financial Distress Service Continuity Plan starting on and from the date on which the Buyer first notified the Supplier that Supplier must submit a revised draft of the first draft Financial Distress Service Continuity Plan.</w:t>
      </w:r>
      <w:bookmarkEnd w:id="46"/>
    </w:p>
    <w:p w14:paraId="1ED1D0C5"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7" w:name="_heading=h.3j2qqm3" w:colFirst="0" w:colLast="0"/>
      <w:bookmarkStart w:id="48" w:name="_Ref141086670"/>
      <w:bookmarkEnd w:id="47"/>
      <w:r w:rsidRPr="006C68D3">
        <w:rPr>
          <w:rFonts w:eastAsia="Calibri"/>
          <w:b/>
          <w:color w:val="000000"/>
          <w:szCs w:val="24"/>
        </w:rPr>
        <w:t>What happens If your Primary Metric is still good</w:t>
      </w:r>
      <w:bookmarkEnd w:id="48"/>
    </w:p>
    <w:p w14:paraId="7242D447" w14:textId="2B1BC8A6" w:rsidR="00A731E1" w:rsidRPr="006C68D3" w:rsidRDefault="00043197" w:rsidP="002936E5">
      <w:pPr>
        <w:keepNext/>
        <w:pBdr>
          <w:top w:val="nil"/>
          <w:left w:val="nil"/>
          <w:bottom w:val="nil"/>
          <w:right w:val="nil"/>
          <w:between w:val="nil"/>
        </w:pBdr>
        <w:spacing w:before="120" w:after="120"/>
        <w:ind w:left="720" w:hanging="294"/>
        <w:jc w:val="left"/>
        <w:rPr>
          <w:rFonts w:eastAsia="Calibri"/>
          <w:color w:val="000000"/>
          <w:szCs w:val="24"/>
        </w:rPr>
      </w:pPr>
      <w:r w:rsidRPr="006C68D3">
        <w:rPr>
          <w:rFonts w:eastAsia="Calibri"/>
          <w:color w:val="000000"/>
          <w:szCs w:val="24"/>
        </w:rPr>
        <w:t>Without prejudice to the Supplier’s obligations and the Buyer’s rights and remedies under Paragraph ‎</w:t>
      </w:r>
      <w:r w:rsidR="002238CF">
        <w:rPr>
          <w:rFonts w:eastAsia="Calibri"/>
          <w:color w:val="000000"/>
          <w:szCs w:val="24"/>
        </w:rPr>
        <w:fldChar w:fldCharType="begin"/>
      </w:r>
      <w:r w:rsidR="002238CF">
        <w:rPr>
          <w:rFonts w:eastAsia="Calibri"/>
          <w:color w:val="000000"/>
          <w:szCs w:val="24"/>
        </w:rPr>
        <w:instrText xml:space="preserve"> REF _Ref141087349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w:t>
      </w:r>
      <w:r w:rsidR="002238CF">
        <w:rPr>
          <w:rFonts w:eastAsia="Calibri"/>
          <w:color w:val="000000"/>
          <w:szCs w:val="24"/>
        </w:rPr>
        <w:fldChar w:fldCharType="end"/>
      </w:r>
      <w:r w:rsidRPr="006C68D3">
        <w:rPr>
          <w:rFonts w:eastAsia="Calibri"/>
          <w:color w:val="000000"/>
          <w:szCs w:val="24"/>
        </w:rPr>
        <w:t>, if, following the occurrence of a Financial Distress Event, the Supplier evidences to the Buyer’s satisfaction that the Primary Metric shows that the Financial Distress Event no longer exists, then:</w:t>
      </w:r>
    </w:p>
    <w:p w14:paraId="08D6A946" w14:textId="52963E15"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 be relieved automatically of its obligations under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and</w:t>
      </w:r>
    </w:p>
    <w:p w14:paraId="2E28911D" w14:textId="56D57A99"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Buyer shall not be entitled to require the Supplier to provide financial information in accordance with Paragraph </w:t>
      </w:r>
      <w:r w:rsidR="002238CF">
        <w:rPr>
          <w:rFonts w:eastAsia="Calibri"/>
          <w:color w:val="000000"/>
          <w:szCs w:val="24"/>
        </w:rPr>
        <w:fldChar w:fldCharType="begin"/>
      </w:r>
      <w:r w:rsidR="002238CF">
        <w:rPr>
          <w:rFonts w:eastAsia="Calibri"/>
          <w:color w:val="000000"/>
          <w:szCs w:val="24"/>
        </w:rPr>
        <w:instrText xml:space="preserve"> REF _Ref141087374 \w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6.4.2(c)</w:t>
      </w:r>
      <w:r w:rsidR="002238CF">
        <w:rPr>
          <w:rFonts w:eastAsia="Calibri"/>
          <w:color w:val="000000"/>
          <w:szCs w:val="24"/>
        </w:rPr>
        <w:fldChar w:fldCharType="end"/>
      </w:r>
      <w:r w:rsidRPr="006C68D3">
        <w:rPr>
          <w:rFonts w:eastAsia="Calibri"/>
          <w:color w:val="000000"/>
          <w:szCs w:val="24"/>
        </w:rPr>
        <w:t xml:space="preserve">). </w:t>
      </w:r>
    </w:p>
    <w:p w14:paraId="6553BF3A" w14:textId="77777777" w:rsidR="00A731E1" w:rsidRPr="006C68D3" w:rsidRDefault="00A731E1">
      <w:pPr>
        <w:pBdr>
          <w:top w:val="nil"/>
          <w:left w:val="nil"/>
          <w:bottom w:val="nil"/>
          <w:right w:val="nil"/>
          <w:between w:val="nil"/>
        </w:pBdr>
        <w:spacing w:after="0"/>
        <w:jc w:val="left"/>
        <w:rPr>
          <w:rFonts w:eastAsia="Arial"/>
          <w:color w:val="FFFFFF"/>
          <w:szCs w:val="24"/>
        </w:rPr>
      </w:pPr>
    </w:p>
    <w:p w14:paraId="58DC0F07" w14:textId="77777777" w:rsidR="00A731E1" w:rsidRPr="006C68D3" w:rsidRDefault="00043197">
      <w:pPr>
        <w:keepNext/>
        <w:pBdr>
          <w:top w:val="nil"/>
          <w:left w:val="nil"/>
          <w:bottom w:val="nil"/>
          <w:right w:val="nil"/>
          <w:between w:val="nil"/>
        </w:pBdr>
        <w:ind w:firstLine="426"/>
        <w:jc w:val="left"/>
        <w:rPr>
          <w:rFonts w:eastAsia="Arial"/>
          <w:b/>
          <w:smallCaps/>
          <w:color w:val="000000"/>
          <w:szCs w:val="24"/>
        </w:rPr>
      </w:pPr>
      <w:bookmarkStart w:id="49" w:name="_heading=h.1y810tw" w:colFirst="0" w:colLast="0"/>
      <w:bookmarkEnd w:id="49"/>
      <w:r w:rsidRPr="006C68D3">
        <w:rPr>
          <w:szCs w:val="24"/>
        </w:rPr>
        <w:br w:type="page"/>
      </w:r>
    </w:p>
    <w:p w14:paraId="0D395C28" w14:textId="77777777" w:rsidR="00A731E1" w:rsidRPr="006C68D3" w:rsidRDefault="00043197">
      <w:pPr>
        <w:spacing w:after="200" w:line="276" w:lineRule="auto"/>
        <w:jc w:val="left"/>
        <w:rPr>
          <w:rFonts w:eastAsia="Arial"/>
          <w:b/>
          <w:smallCaps/>
          <w:color w:val="000000"/>
          <w:szCs w:val="24"/>
        </w:rPr>
      </w:pPr>
      <w:bookmarkStart w:id="50" w:name="_heading=h.4i7ojhp" w:colFirst="0" w:colLast="0"/>
      <w:bookmarkEnd w:id="50"/>
      <w:r w:rsidRPr="006C68D3">
        <w:rPr>
          <w:rFonts w:eastAsia="Arial"/>
          <w:b/>
          <w:smallCaps/>
          <w:color w:val="000000"/>
          <w:szCs w:val="24"/>
        </w:rPr>
        <w:lastRenderedPageBreak/>
        <w:t xml:space="preserve">ANNEX </w:t>
      </w:r>
      <w:bookmarkStart w:id="51" w:name="Ann_1"/>
      <w:r w:rsidRPr="006C68D3">
        <w:rPr>
          <w:rFonts w:eastAsia="Arial"/>
          <w:b/>
          <w:smallCaps/>
          <w:color w:val="000000"/>
          <w:szCs w:val="24"/>
        </w:rPr>
        <w:t>1</w:t>
      </w:r>
      <w:bookmarkEnd w:id="51"/>
      <w:r w:rsidRPr="006C68D3">
        <w:rPr>
          <w:rFonts w:eastAsia="Arial"/>
          <w:b/>
          <w:smallCaps/>
          <w:color w:val="000000"/>
          <w:szCs w:val="24"/>
        </w:rPr>
        <w:t xml:space="preserve">: RATING </w:t>
      </w:r>
      <w:r w:rsidRPr="006C68D3">
        <w:rPr>
          <w:rFonts w:eastAsia="Arial"/>
          <w:b/>
          <w:color w:val="000000"/>
          <w:szCs w:val="24"/>
        </w:rPr>
        <w:t>AGENCIES AND CREDIT REFERENCE AGENCIES</w:t>
      </w:r>
    </w:p>
    <w:p w14:paraId="6C91317C" w14:textId="77777777" w:rsidR="00A731E1" w:rsidRPr="005E3ABF" w:rsidRDefault="00043197">
      <w:pPr>
        <w:keepNext/>
        <w:pBdr>
          <w:top w:val="nil"/>
          <w:left w:val="nil"/>
          <w:bottom w:val="nil"/>
          <w:right w:val="nil"/>
          <w:between w:val="nil"/>
        </w:pBdr>
        <w:spacing w:before="240" w:after="120"/>
        <w:jc w:val="left"/>
        <w:rPr>
          <w:rFonts w:eastAsia="Arial"/>
          <w:b/>
          <w:color w:val="000000"/>
          <w:szCs w:val="24"/>
        </w:rPr>
      </w:pPr>
      <w:r w:rsidRPr="005E3ABF">
        <w:rPr>
          <w:rFonts w:eastAsia="Arial"/>
          <w:b/>
          <w:color w:val="000000"/>
          <w:szCs w:val="24"/>
        </w:rPr>
        <w:t xml:space="preserve">Part </w:t>
      </w:r>
      <w:bookmarkStart w:id="52" w:name="Ann1_Part_A"/>
      <w:r w:rsidRPr="005E3ABF">
        <w:rPr>
          <w:rFonts w:eastAsia="Arial"/>
          <w:b/>
          <w:color w:val="000000"/>
          <w:szCs w:val="24"/>
        </w:rPr>
        <w:t>A</w:t>
      </w:r>
      <w:bookmarkEnd w:id="52"/>
      <w:r w:rsidRPr="005E3ABF">
        <w:rPr>
          <w:rFonts w:eastAsia="Arial"/>
          <w:b/>
          <w:color w:val="000000"/>
          <w:szCs w:val="24"/>
        </w:rPr>
        <w:t>: Rating Agencies</w:t>
      </w:r>
    </w:p>
    <w:p w14:paraId="192462C7" w14:textId="630A104D" w:rsidR="00A731E1" w:rsidRPr="005E3ABF" w:rsidRDefault="002936E5">
      <w:pPr>
        <w:keepNext/>
        <w:pBdr>
          <w:top w:val="nil"/>
          <w:left w:val="nil"/>
          <w:bottom w:val="nil"/>
          <w:right w:val="nil"/>
          <w:between w:val="nil"/>
        </w:pBdr>
        <w:spacing w:before="240" w:after="120"/>
        <w:jc w:val="left"/>
        <w:rPr>
          <w:rFonts w:eastAsia="Arial"/>
          <w:color w:val="000000"/>
          <w:szCs w:val="24"/>
        </w:rPr>
      </w:pPr>
      <w:r w:rsidRPr="005E3ABF">
        <w:rPr>
          <w:rFonts w:eastAsia="Arial"/>
          <w:color w:val="000000"/>
          <w:szCs w:val="24"/>
        </w:rPr>
        <w:t>Dun &amp; Bradstreet</w:t>
      </w:r>
    </w:p>
    <w:p w14:paraId="01A1961B" w14:textId="77777777" w:rsidR="00A731E1" w:rsidRPr="005E3ABF" w:rsidRDefault="00043197">
      <w:pPr>
        <w:keepNext/>
        <w:pBdr>
          <w:top w:val="nil"/>
          <w:left w:val="nil"/>
          <w:bottom w:val="nil"/>
          <w:right w:val="nil"/>
          <w:between w:val="nil"/>
        </w:pBdr>
        <w:spacing w:before="240" w:after="120"/>
        <w:jc w:val="left"/>
        <w:rPr>
          <w:rFonts w:eastAsia="Arial"/>
          <w:b/>
          <w:color w:val="000000"/>
          <w:szCs w:val="24"/>
        </w:rPr>
      </w:pPr>
      <w:r w:rsidRPr="005E3ABF">
        <w:rPr>
          <w:rFonts w:eastAsia="Arial"/>
          <w:b/>
          <w:color w:val="000000"/>
          <w:szCs w:val="24"/>
        </w:rPr>
        <w:t xml:space="preserve">Part </w:t>
      </w:r>
      <w:bookmarkStart w:id="53" w:name="Ann1_Part_B"/>
      <w:r w:rsidRPr="005E3ABF">
        <w:rPr>
          <w:rFonts w:eastAsia="Arial"/>
          <w:b/>
          <w:color w:val="000000"/>
          <w:szCs w:val="24"/>
        </w:rPr>
        <w:t>B</w:t>
      </w:r>
      <w:bookmarkEnd w:id="53"/>
      <w:r w:rsidRPr="005E3ABF">
        <w:rPr>
          <w:rFonts w:eastAsia="Arial"/>
          <w:b/>
          <w:color w:val="000000"/>
          <w:szCs w:val="24"/>
        </w:rPr>
        <w:t>: Credit Reference Agencies</w:t>
      </w:r>
    </w:p>
    <w:p w14:paraId="678EC8EF" w14:textId="6CB0ED77" w:rsidR="00A731E1" w:rsidRPr="006C68D3" w:rsidRDefault="002936E5" w:rsidP="005E3ABF">
      <w:pPr>
        <w:keepNext/>
        <w:pBdr>
          <w:top w:val="nil"/>
          <w:left w:val="nil"/>
          <w:bottom w:val="nil"/>
          <w:right w:val="nil"/>
          <w:between w:val="nil"/>
        </w:pBdr>
        <w:spacing w:before="240" w:after="120"/>
        <w:jc w:val="left"/>
        <w:rPr>
          <w:rFonts w:eastAsia="Arial"/>
          <w:color w:val="000000"/>
          <w:szCs w:val="24"/>
        </w:rPr>
      </w:pPr>
      <w:r w:rsidRPr="005E3ABF">
        <w:rPr>
          <w:rFonts w:eastAsia="Arial"/>
          <w:color w:val="000000"/>
          <w:szCs w:val="24"/>
        </w:rPr>
        <w:t>Dun &amp; Bradstreet</w:t>
      </w:r>
    </w:p>
    <w:p w14:paraId="6BBF78D6" w14:textId="77777777" w:rsidR="00A731E1" w:rsidRPr="006C68D3" w:rsidRDefault="00A731E1">
      <w:pPr>
        <w:keepNext/>
        <w:pBdr>
          <w:top w:val="nil"/>
          <w:left w:val="nil"/>
          <w:bottom w:val="nil"/>
          <w:right w:val="nil"/>
          <w:between w:val="nil"/>
        </w:pBdr>
        <w:spacing w:before="240" w:after="120"/>
        <w:jc w:val="left"/>
        <w:rPr>
          <w:rFonts w:eastAsia="Arial"/>
          <w:color w:val="000000"/>
          <w:szCs w:val="24"/>
        </w:rPr>
      </w:pPr>
    </w:p>
    <w:p w14:paraId="2B8BA394" w14:textId="77777777" w:rsidR="00A731E1" w:rsidRPr="006C68D3" w:rsidRDefault="00043197">
      <w:pPr>
        <w:spacing w:after="200" w:line="276" w:lineRule="auto"/>
        <w:jc w:val="left"/>
        <w:rPr>
          <w:rFonts w:eastAsia="Arial"/>
          <w:b/>
          <w:smallCaps/>
          <w:color w:val="000000"/>
          <w:szCs w:val="24"/>
        </w:rPr>
      </w:pPr>
      <w:bookmarkStart w:id="54" w:name="_heading=h.2xcytpi" w:colFirst="0" w:colLast="0"/>
      <w:bookmarkEnd w:id="54"/>
      <w:r w:rsidRPr="006C68D3">
        <w:rPr>
          <w:szCs w:val="24"/>
        </w:rPr>
        <w:br w:type="page"/>
      </w:r>
      <w:r w:rsidRPr="006C68D3">
        <w:rPr>
          <w:rFonts w:eastAsia="Arial"/>
          <w:b/>
          <w:smallCaps/>
          <w:color w:val="000000"/>
          <w:szCs w:val="24"/>
        </w:rPr>
        <w:lastRenderedPageBreak/>
        <w:t xml:space="preserve">ANNEX </w:t>
      </w:r>
      <w:bookmarkStart w:id="55" w:name="Ann_2"/>
      <w:r w:rsidRPr="006C68D3">
        <w:rPr>
          <w:rFonts w:eastAsia="Arial"/>
          <w:b/>
          <w:smallCaps/>
          <w:color w:val="000000"/>
          <w:szCs w:val="24"/>
        </w:rPr>
        <w:t>2</w:t>
      </w:r>
      <w:bookmarkEnd w:id="55"/>
      <w:r w:rsidRPr="006C68D3">
        <w:rPr>
          <w:rFonts w:eastAsia="Arial"/>
          <w:b/>
          <w:smallCaps/>
          <w:color w:val="000000"/>
          <w:szCs w:val="24"/>
        </w:rPr>
        <w:t>: CREDIT RATINGS, CREDIT SCORES AND FINANCIAL INDICATORS</w:t>
      </w:r>
    </w:p>
    <w:p w14:paraId="270F25BB" w14:textId="77777777" w:rsidR="00A731E1" w:rsidRPr="006C68D3" w:rsidRDefault="00043197">
      <w:pPr>
        <w:spacing w:after="200" w:line="276" w:lineRule="auto"/>
        <w:jc w:val="left"/>
        <w:rPr>
          <w:rFonts w:eastAsia="Arial"/>
          <w:b/>
          <w:color w:val="000000"/>
          <w:szCs w:val="24"/>
        </w:rPr>
      </w:pPr>
      <w:r w:rsidRPr="006C68D3">
        <w:rPr>
          <w:rFonts w:eastAsia="Arial"/>
          <w:b/>
          <w:color w:val="000000"/>
          <w:szCs w:val="24"/>
        </w:rPr>
        <w:t xml:space="preserve">Part </w:t>
      </w:r>
      <w:bookmarkStart w:id="56" w:name="Ann2_Part_A"/>
      <w:r w:rsidRPr="006C68D3">
        <w:rPr>
          <w:rFonts w:eastAsia="Arial"/>
          <w:b/>
          <w:color w:val="000000"/>
          <w:szCs w:val="24"/>
        </w:rPr>
        <w:t>A</w:t>
      </w:r>
      <w:bookmarkEnd w:id="56"/>
      <w:r w:rsidRPr="006C68D3">
        <w:rPr>
          <w:rFonts w:eastAsia="Arial"/>
          <w:b/>
          <w:color w:val="000000"/>
          <w:szCs w:val="24"/>
        </w:rPr>
        <w:t>: Credit Rating</w:t>
      </w:r>
    </w:p>
    <w:p w14:paraId="0B273CEC" w14:textId="77777777" w:rsidR="00A731E1" w:rsidRPr="006C68D3" w:rsidRDefault="00043197">
      <w:pPr>
        <w:spacing w:after="200" w:line="276" w:lineRule="auto"/>
        <w:jc w:val="left"/>
        <w:rPr>
          <w:rFonts w:eastAsia="Arial"/>
          <w:b/>
          <w:i/>
          <w:smallCaps/>
          <w:color w:val="000000"/>
          <w:szCs w:val="24"/>
        </w:rPr>
      </w:pPr>
      <w:r w:rsidRPr="006C68D3">
        <w:rPr>
          <w:rFonts w:eastAsia="Arial"/>
          <w:b/>
          <w:i/>
          <w:color w:val="000000"/>
          <w:szCs w:val="24"/>
          <w:highlight w:val="yellow"/>
        </w:rPr>
        <w:t>[Guidance: Subsidiary entities are unlikely to have a credit rating. The credit rating is most likely to be awarded to the ultimate parent company of a group. For the credit rating provisions to apply, the entity in the supplier’s group which has a credit rating should be included as a Monitored Supplier if it is not the Guarantor.]</w:t>
      </w:r>
    </w:p>
    <w:tbl>
      <w:tblPr>
        <w:tblStyle w:val="a3"/>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731E1" w:rsidRPr="006C68D3" w14:paraId="3C2DF990" w14:textId="77777777">
        <w:tc>
          <w:tcPr>
            <w:tcW w:w="3033" w:type="dxa"/>
            <w:tcBorders>
              <w:top w:val="single" w:sz="4" w:space="0" w:color="000000"/>
            </w:tcBorders>
            <w:shd w:val="clear" w:color="auto" w:fill="D9D9D9"/>
          </w:tcPr>
          <w:p w14:paraId="7B58CFDF"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3017" w:type="dxa"/>
            <w:tcBorders>
              <w:top w:val="single" w:sz="4" w:space="0" w:color="000000"/>
            </w:tcBorders>
            <w:shd w:val="clear" w:color="auto" w:fill="D9D9D9"/>
          </w:tcPr>
          <w:p w14:paraId="192B8950"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(long term)</w:t>
            </w:r>
          </w:p>
        </w:tc>
        <w:tc>
          <w:tcPr>
            <w:tcW w:w="2966" w:type="dxa"/>
            <w:tcBorders>
              <w:top w:val="single" w:sz="4" w:space="0" w:color="000000"/>
            </w:tcBorders>
            <w:shd w:val="clear" w:color="auto" w:fill="D9D9D9"/>
          </w:tcPr>
          <w:p w14:paraId="363F79BC"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Threshold</w:t>
            </w:r>
          </w:p>
        </w:tc>
      </w:tr>
      <w:tr w:rsidR="00A731E1" w:rsidRPr="006C68D3" w14:paraId="7497C085" w14:textId="77777777">
        <w:tc>
          <w:tcPr>
            <w:tcW w:w="3033" w:type="dxa"/>
            <w:shd w:val="clear" w:color="auto" w:fill="FFFFFF"/>
          </w:tcPr>
          <w:p w14:paraId="4ACBE21A" w14:textId="77777777"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rPr>
              <w:t>Supplier</w:t>
            </w:r>
          </w:p>
        </w:tc>
        <w:tc>
          <w:tcPr>
            <w:tcW w:w="3017" w:type="dxa"/>
            <w:shd w:val="clear" w:color="auto" w:fill="FFFFFF"/>
          </w:tcPr>
          <w:p w14:paraId="0AADE2A7"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shd w:val="clear" w:color="auto" w:fill="FFFFFF"/>
          </w:tcPr>
          <w:p w14:paraId="4BDCE706"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0DB0AD72" w14:textId="77777777">
        <w:tc>
          <w:tcPr>
            <w:tcW w:w="3033" w:type="dxa"/>
            <w:shd w:val="clear" w:color="auto" w:fill="FFFFFF"/>
          </w:tcPr>
          <w:p w14:paraId="7CC1AB5E" w14:textId="54DE47E0"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highlight w:val="yellow"/>
              </w:rPr>
              <w:t>Guarantor</w:t>
            </w:r>
          </w:p>
        </w:tc>
        <w:tc>
          <w:tcPr>
            <w:tcW w:w="3017" w:type="dxa"/>
            <w:shd w:val="clear" w:color="auto" w:fill="FFFFFF"/>
          </w:tcPr>
          <w:p w14:paraId="2CD83B7F"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shd w:val="clear" w:color="auto" w:fill="FFFFFF"/>
          </w:tcPr>
          <w:p w14:paraId="7E6F44D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5D172D9B" w14:textId="77777777">
        <w:tc>
          <w:tcPr>
            <w:tcW w:w="3033" w:type="dxa"/>
            <w:shd w:val="clear" w:color="auto" w:fill="FFFFFF"/>
          </w:tcPr>
          <w:p w14:paraId="4DFAB0E0"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[Key Subcontractor]</w:t>
            </w:r>
          </w:p>
        </w:tc>
        <w:tc>
          <w:tcPr>
            <w:tcW w:w="3017" w:type="dxa"/>
            <w:shd w:val="clear" w:color="auto" w:fill="FFFFFF"/>
          </w:tcPr>
          <w:p w14:paraId="25605FA3"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shd w:val="clear" w:color="auto" w:fill="FFFFFF"/>
          </w:tcPr>
          <w:p w14:paraId="7D41B70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31B3E9BB" w14:textId="77777777">
        <w:tc>
          <w:tcPr>
            <w:tcW w:w="3033" w:type="dxa"/>
            <w:tcBorders>
              <w:bottom w:val="single" w:sz="4" w:space="0" w:color="000000"/>
            </w:tcBorders>
            <w:shd w:val="clear" w:color="auto" w:fill="FFFFFF"/>
          </w:tcPr>
          <w:p w14:paraId="5D3D77A3"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[Monitored Supplier]</w:t>
            </w:r>
          </w:p>
        </w:tc>
        <w:tc>
          <w:tcPr>
            <w:tcW w:w="3017" w:type="dxa"/>
            <w:tcBorders>
              <w:bottom w:val="single" w:sz="4" w:space="0" w:color="000000"/>
            </w:tcBorders>
            <w:shd w:val="clear" w:color="auto" w:fill="FFFFFF"/>
          </w:tcPr>
          <w:p w14:paraId="1A238A60"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tcBorders>
              <w:bottom w:val="single" w:sz="4" w:space="0" w:color="000000"/>
            </w:tcBorders>
            <w:shd w:val="clear" w:color="auto" w:fill="FFFFFF"/>
          </w:tcPr>
          <w:p w14:paraId="60803667"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bl>
    <w:p w14:paraId="5E1A7C61" w14:textId="77777777" w:rsidR="00A731E1" w:rsidRPr="006C68D3" w:rsidRDefault="00A731E1">
      <w:pPr>
        <w:spacing w:after="0"/>
        <w:rPr>
          <w:rFonts w:eastAsia="Arial"/>
          <w:szCs w:val="24"/>
        </w:rPr>
      </w:pPr>
    </w:p>
    <w:p w14:paraId="39228016" w14:textId="77777777" w:rsidR="00A731E1" w:rsidRPr="006C68D3" w:rsidRDefault="00043197">
      <w:pPr>
        <w:spacing w:after="200" w:line="276" w:lineRule="auto"/>
        <w:jc w:val="left"/>
        <w:rPr>
          <w:rFonts w:eastAsia="Arial"/>
          <w:b/>
          <w:smallCaps/>
          <w:color w:val="000000"/>
          <w:szCs w:val="24"/>
        </w:rPr>
      </w:pPr>
      <w:r w:rsidRPr="006C68D3">
        <w:rPr>
          <w:rFonts w:eastAsia="Arial"/>
          <w:b/>
          <w:color w:val="000000"/>
          <w:szCs w:val="24"/>
        </w:rPr>
        <w:t xml:space="preserve">Part </w:t>
      </w:r>
      <w:bookmarkStart w:id="57" w:name="Ann2_Part_B"/>
      <w:r w:rsidRPr="006C68D3">
        <w:rPr>
          <w:rFonts w:eastAsia="Arial"/>
          <w:b/>
          <w:color w:val="000000"/>
          <w:szCs w:val="24"/>
        </w:rPr>
        <w:t>B</w:t>
      </w:r>
      <w:bookmarkEnd w:id="57"/>
      <w:r w:rsidRPr="006C68D3">
        <w:rPr>
          <w:rFonts w:eastAsia="Arial"/>
          <w:b/>
          <w:color w:val="000000"/>
          <w:szCs w:val="24"/>
        </w:rPr>
        <w:t>: Credit Score</w:t>
      </w:r>
    </w:p>
    <w:tbl>
      <w:tblPr>
        <w:tblStyle w:val="a4"/>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283"/>
        <w:gridCol w:w="2270"/>
        <w:gridCol w:w="2232"/>
        <w:gridCol w:w="2231"/>
      </w:tblGrid>
      <w:tr w:rsidR="00A731E1" w:rsidRPr="006C68D3" w14:paraId="5214CE48" w14:textId="77777777">
        <w:tc>
          <w:tcPr>
            <w:tcW w:w="2283" w:type="dxa"/>
            <w:tcBorders>
              <w:top w:val="single" w:sz="4" w:space="0" w:color="000000"/>
            </w:tcBorders>
            <w:shd w:val="clear" w:color="auto" w:fill="D9D9D9"/>
          </w:tcPr>
          <w:p w14:paraId="7B98A694"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2270" w:type="dxa"/>
            <w:tcBorders>
              <w:top w:val="single" w:sz="4" w:space="0" w:color="000000"/>
            </w:tcBorders>
            <w:shd w:val="clear" w:color="auto" w:fill="D9D9D9"/>
          </w:tcPr>
          <w:p w14:paraId="2A3B6CC2"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score</w:t>
            </w:r>
          </w:p>
        </w:tc>
        <w:tc>
          <w:tcPr>
            <w:tcW w:w="2232" w:type="dxa"/>
            <w:tcBorders>
              <w:top w:val="single" w:sz="4" w:space="0" w:color="000000"/>
            </w:tcBorders>
            <w:shd w:val="clear" w:color="auto" w:fill="D9D9D9"/>
          </w:tcPr>
          <w:p w14:paraId="44C82505"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Score Notification Trigger</w:t>
            </w:r>
          </w:p>
        </w:tc>
        <w:tc>
          <w:tcPr>
            <w:tcW w:w="2231" w:type="dxa"/>
            <w:tcBorders>
              <w:top w:val="single" w:sz="4" w:space="0" w:color="000000"/>
            </w:tcBorders>
            <w:shd w:val="clear" w:color="auto" w:fill="D9D9D9"/>
          </w:tcPr>
          <w:p w14:paraId="4D4102CA"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Score Threshold</w:t>
            </w:r>
          </w:p>
        </w:tc>
      </w:tr>
      <w:tr w:rsidR="00A731E1" w:rsidRPr="006C68D3" w14:paraId="01101A9B" w14:textId="77777777">
        <w:tc>
          <w:tcPr>
            <w:tcW w:w="2283" w:type="dxa"/>
            <w:shd w:val="clear" w:color="auto" w:fill="FFFFFF"/>
          </w:tcPr>
          <w:p w14:paraId="033A8444" w14:textId="77777777"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rPr>
              <w:t>Supplier</w:t>
            </w:r>
          </w:p>
        </w:tc>
        <w:tc>
          <w:tcPr>
            <w:tcW w:w="2270" w:type="dxa"/>
            <w:shd w:val="clear" w:color="auto" w:fill="FFFFFF"/>
          </w:tcPr>
          <w:p w14:paraId="76F0CB96"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shd w:val="clear" w:color="auto" w:fill="FFFFFF"/>
          </w:tcPr>
          <w:p w14:paraId="0EBF441D"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shd w:val="clear" w:color="auto" w:fill="FFFFFF"/>
          </w:tcPr>
          <w:p w14:paraId="5AA4D870"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2C02F3E8" w14:textId="77777777">
        <w:tc>
          <w:tcPr>
            <w:tcW w:w="2283" w:type="dxa"/>
            <w:shd w:val="clear" w:color="auto" w:fill="FFFFFF"/>
          </w:tcPr>
          <w:p w14:paraId="61D95E95" w14:textId="6E7835B0"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highlight w:val="yellow"/>
              </w:rPr>
              <w:t>Guarantor</w:t>
            </w:r>
          </w:p>
        </w:tc>
        <w:tc>
          <w:tcPr>
            <w:tcW w:w="2270" w:type="dxa"/>
            <w:shd w:val="clear" w:color="auto" w:fill="FFFFFF"/>
          </w:tcPr>
          <w:p w14:paraId="6B0E75C2"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shd w:val="clear" w:color="auto" w:fill="FFFFFF"/>
          </w:tcPr>
          <w:p w14:paraId="24C893E8"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shd w:val="clear" w:color="auto" w:fill="FFFFFF"/>
          </w:tcPr>
          <w:p w14:paraId="3DDEEBA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504F83C2" w14:textId="77777777">
        <w:tc>
          <w:tcPr>
            <w:tcW w:w="2283" w:type="dxa"/>
            <w:shd w:val="clear" w:color="auto" w:fill="FFFFFF"/>
          </w:tcPr>
          <w:p w14:paraId="0853D264"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[Key Subcontractor]</w:t>
            </w:r>
          </w:p>
        </w:tc>
        <w:tc>
          <w:tcPr>
            <w:tcW w:w="2270" w:type="dxa"/>
            <w:shd w:val="clear" w:color="auto" w:fill="FFFFFF"/>
          </w:tcPr>
          <w:p w14:paraId="12BB084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shd w:val="clear" w:color="auto" w:fill="FFFFFF"/>
          </w:tcPr>
          <w:p w14:paraId="2C38EC8D"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shd w:val="clear" w:color="auto" w:fill="FFFFFF"/>
          </w:tcPr>
          <w:p w14:paraId="1ED79A84"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210EEDF6" w14:textId="77777777">
        <w:tc>
          <w:tcPr>
            <w:tcW w:w="2283" w:type="dxa"/>
            <w:tcBorders>
              <w:bottom w:val="single" w:sz="4" w:space="0" w:color="000000"/>
            </w:tcBorders>
            <w:shd w:val="clear" w:color="auto" w:fill="FFFFFF"/>
          </w:tcPr>
          <w:p w14:paraId="157E8019"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[Monitored Supplier]</w:t>
            </w:r>
          </w:p>
        </w:tc>
        <w:tc>
          <w:tcPr>
            <w:tcW w:w="2270" w:type="dxa"/>
            <w:tcBorders>
              <w:bottom w:val="single" w:sz="4" w:space="0" w:color="000000"/>
            </w:tcBorders>
            <w:shd w:val="clear" w:color="auto" w:fill="FFFFFF"/>
          </w:tcPr>
          <w:p w14:paraId="3104F1A9"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tcBorders>
              <w:bottom w:val="single" w:sz="4" w:space="0" w:color="000000"/>
            </w:tcBorders>
            <w:shd w:val="clear" w:color="auto" w:fill="FFFFFF"/>
          </w:tcPr>
          <w:p w14:paraId="25B7AB2D"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tcBorders>
              <w:bottom w:val="single" w:sz="4" w:space="0" w:color="000000"/>
            </w:tcBorders>
            <w:shd w:val="clear" w:color="auto" w:fill="FFFFFF"/>
          </w:tcPr>
          <w:p w14:paraId="122E9B77"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bl>
    <w:p w14:paraId="54CBC604" w14:textId="77777777" w:rsidR="00A731E1" w:rsidRPr="006C68D3" w:rsidRDefault="00A731E1">
      <w:pPr>
        <w:spacing w:after="0"/>
        <w:rPr>
          <w:rFonts w:eastAsia="Arial"/>
          <w:szCs w:val="24"/>
        </w:rPr>
      </w:pPr>
    </w:p>
    <w:p w14:paraId="28786484" w14:textId="77777777" w:rsidR="00A731E1" w:rsidRPr="006C68D3" w:rsidRDefault="00043197" w:rsidP="00043197">
      <w:pPr>
        <w:keepNext/>
        <w:keepLines/>
        <w:spacing w:after="0"/>
        <w:rPr>
          <w:rFonts w:eastAsia="Arial"/>
          <w:b/>
          <w:szCs w:val="24"/>
        </w:rPr>
      </w:pPr>
      <w:r w:rsidRPr="006C68D3">
        <w:rPr>
          <w:rFonts w:eastAsia="Arial"/>
          <w:b/>
          <w:szCs w:val="24"/>
        </w:rPr>
        <w:lastRenderedPageBreak/>
        <w:t xml:space="preserve">Part </w:t>
      </w:r>
      <w:bookmarkStart w:id="58" w:name="Ann2_Part_C"/>
      <w:r w:rsidRPr="006C68D3">
        <w:rPr>
          <w:rFonts w:eastAsia="Arial"/>
          <w:b/>
          <w:szCs w:val="24"/>
        </w:rPr>
        <w:t>C</w:t>
      </w:r>
      <w:bookmarkEnd w:id="58"/>
      <w:r w:rsidRPr="006C68D3">
        <w:rPr>
          <w:rFonts w:eastAsia="Arial"/>
          <w:b/>
          <w:szCs w:val="24"/>
        </w:rPr>
        <w:t>: Financial Indicators</w:t>
      </w:r>
    </w:p>
    <w:p w14:paraId="2DB4E65C" w14:textId="77777777" w:rsidR="00A731E1" w:rsidRPr="006C68D3" w:rsidRDefault="00A731E1" w:rsidP="00043197">
      <w:pPr>
        <w:keepNext/>
        <w:keepLines/>
        <w:spacing w:after="0"/>
        <w:rPr>
          <w:rFonts w:eastAsia="Arial"/>
          <w:szCs w:val="24"/>
        </w:rPr>
      </w:pPr>
    </w:p>
    <w:tbl>
      <w:tblPr>
        <w:tblStyle w:val="a5"/>
        <w:tblW w:w="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tblGrid>
      <w:tr w:rsidR="0080505B" w:rsidRPr="006C68D3" w14:paraId="6B1A7EF3" w14:textId="77777777" w:rsidTr="0080505B">
        <w:trPr>
          <w:tblHeader/>
        </w:trPr>
        <w:tc>
          <w:tcPr>
            <w:tcW w:w="2253" w:type="dxa"/>
            <w:shd w:val="clear" w:color="auto" w:fill="D9D9D9"/>
            <w:vAlign w:val="center"/>
          </w:tcPr>
          <w:p w14:paraId="0FF61910" w14:textId="77777777" w:rsidR="0080505B" w:rsidRPr="006C68D3" w:rsidRDefault="0080505B" w:rsidP="00043197">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Financial Indicator</w:t>
            </w:r>
          </w:p>
        </w:tc>
        <w:tc>
          <w:tcPr>
            <w:tcW w:w="1977" w:type="dxa"/>
            <w:shd w:val="clear" w:color="auto" w:fill="D9D9D9"/>
            <w:vAlign w:val="center"/>
          </w:tcPr>
          <w:p w14:paraId="6F2C32C8" w14:textId="77777777" w:rsidR="0080505B" w:rsidRPr="006C68D3" w:rsidRDefault="0080505B" w:rsidP="00043197">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Calculation</w:t>
            </w:r>
            <w:r w:rsidRPr="006C68D3">
              <w:rPr>
                <w:rFonts w:eastAsia="Arial"/>
                <w:b/>
                <w:color w:val="000000"/>
                <w:szCs w:val="24"/>
                <w:vertAlign w:val="superscript"/>
              </w:rPr>
              <w:t>1</w:t>
            </w:r>
          </w:p>
        </w:tc>
        <w:tc>
          <w:tcPr>
            <w:tcW w:w="1697" w:type="dxa"/>
            <w:shd w:val="clear" w:color="auto" w:fill="D9D9D9"/>
            <w:vAlign w:val="center"/>
          </w:tcPr>
          <w:p w14:paraId="0DA516CC" w14:textId="77777777" w:rsidR="0080505B" w:rsidRPr="006C68D3" w:rsidRDefault="0080505B" w:rsidP="00043197">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Financial Target Threshold:</w:t>
            </w:r>
          </w:p>
        </w:tc>
        <w:bookmarkStart w:id="59" w:name="_heading=h.23ckvvd" w:colFirst="0" w:colLast="0"/>
        <w:bookmarkEnd w:id="59"/>
      </w:tr>
      <w:tr w:rsidR="0080505B" w:rsidRPr="006C68D3" w14:paraId="169DE477" w14:textId="77777777" w:rsidTr="0080505B">
        <w:tc>
          <w:tcPr>
            <w:tcW w:w="2253" w:type="dxa"/>
            <w:vAlign w:val="center"/>
          </w:tcPr>
          <w:p w14:paraId="72852D08" w14:textId="77777777" w:rsidR="0080505B" w:rsidRPr="006C68D3" w:rsidRDefault="0080505B" w:rsidP="00043197">
            <w:pPr>
              <w:keepNext/>
              <w:keepLines/>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1</w:t>
            </w:r>
          </w:p>
          <w:p w14:paraId="309B2683" w14:textId="0FE3A87F" w:rsidR="0080505B" w:rsidRPr="006C68D3" w:rsidRDefault="0080505B" w:rsidP="00043197">
            <w:pPr>
              <w:keepNext/>
              <w:keepLines/>
              <w:pBdr>
                <w:top w:val="nil"/>
                <w:left w:val="nil"/>
                <w:bottom w:val="nil"/>
                <w:right w:val="nil"/>
                <w:between w:val="nil"/>
              </w:pBdr>
              <w:spacing w:before="100" w:after="200"/>
              <w:jc w:val="left"/>
              <w:rPr>
                <w:rFonts w:eastAsia="Arial"/>
                <w:b/>
                <w:color w:val="000000"/>
                <w:szCs w:val="24"/>
              </w:rPr>
            </w:pPr>
            <w:r w:rsidRPr="0080505B">
              <w:rPr>
                <w:rFonts w:eastAsia="Arial"/>
                <w:b/>
                <w:color w:val="000000"/>
                <w:szCs w:val="24"/>
              </w:rPr>
              <w:t>The higher of (a) the Operating Margin for the most recent 12 month period and (b) the average Operating Margin for the last two 12 month periods</w:t>
            </w:r>
          </w:p>
        </w:tc>
        <w:tc>
          <w:tcPr>
            <w:tcW w:w="1977" w:type="dxa"/>
            <w:vAlign w:val="center"/>
          </w:tcPr>
          <w:p w14:paraId="4B21471B" w14:textId="186415CC" w:rsidR="0080505B" w:rsidRPr="006C68D3" w:rsidRDefault="0080505B" w:rsidP="00043197">
            <w:pPr>
              <w:keepNext/>
              <w:keepLines/>
              <w:pBdr>
                <w:top w:val="nil"/>
                <w:left w:val="nil"/>
                <w:bottom w:val="nil"/>
                <w:right w:val="nil"/>
                <w:between w:val="nil"/>
              </w:pBdr>
              <w:spacing w:before="100" w:after="200"/>
              <w:jc w:val="center"/>
              <w:rPr>
                <w:rFonts w:eastAsia="Arial"/>
                <w:i/>
                <w:color w:val="000000"/>
                <w:szCs w:val="24"/>
              </w:rPr>
            </w:pPr>
            <w:r w:rsidRPr="0080505B">
              <w:rPr>
                <w:rFonts w:eastAsia="Arial"/>
                <w:i/>
                <w:color w:val="000000"/>
                <w:szCs w:val="24"/>
              </w:rPr>
              <w:t>Operating Margin = Operating Profit / Revenue</w:t>
            </w:r>
          </w:p>
        </w:tc>
        <w:tc>
          <w:tcPr>
            <w:tcW w:w="1697" w:type="dxa"/>
            <w:vAlign w:val="center"/>
          </w:tcPr>
          <w:p w14:paraId="56B1B6A4" w14:textId="1C1E269E" w:rsidR="0080505B" w:rsidRPr="006C68D3" w:rsidRDefault="0080505B" w:rsidP="00043197">
            <w:pPr>
              <w:keepNext/>
              <w:keepLines/>
              <w:pBdr>
                <w:top w:val="nil"/>
                <w:left w:val="nil"/>
                <w:bottom w:val="nil"/>
                <w:right w:val="nil"/>
                <w:between w:val="nil"/>
              </w:pBdr>
              <w:spacing w:before="100" w:after="200"/>
              <w:jc w:val="center"/>
              <w:rPr>
                <w:rFonts w:eastAsia="Arial"/>
                <w:i/>
                <w:color w:val="000000"/>
                <w:szCs w:val="24"/>
                <w:highlight w:val="yellow"/>
              </w:rPr>
            </w:pPr>
            <w:r w:rsidRPr="0080505B">
              <w:rPr>
                <w:rFonts w:eastAsia="Arial"/>
                <w:i/>
                <w:color w:val="000000"/>
                <w:szCs w:val="24"/>
              </w:rPr>
              <w:t>&gt; 8%</w:t>
            </w:r>
          </w:p>
        </w:tc>
      </w:tr>
      <w:tr w:rsidR="0080505B" w:rsidRPr="006C68D3" w14:paraId="759BC239" w14:textId="77777777" w:rsidTr="0080505B">
        <w:tc>
          <w:tcPr>
            <w:tcW w:w="2253" w:type="dxa"/>
            <w:vAlign w:val="center"/>
          </w:tcPr>
          <w:p w14:paraId="42526F24" w14:textId="77777777" w:rsidR="0080505B" w:rsidRPr="006C68D3" w:rsidRDefault="0080505B">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2</w:t>
            </w:r>
          </w:p>
          <w:p w14:paraId="6F7E7D9C" w14:textId="4F48AAF8" w:rsidR="0080505B" w:rsidRPr="006C68D3" w:rsidRDefault="0080505B" w:rsidP="002936E5">
            <w:pPr>
              <w:pBdr>
                <w:top w:val="nil"/>
                <w:left w:val="nil"/>
                <w:bottom w:val="nil"/>
                <w:right w:val="nil"/>
                <w:between w:val="nil"/>
              </w:pBdr>
              <w:spacing w:before="100" w:after="200"/>
              <w:ind w:left="720" w:hanging="720"/>
              <w:jc w:val="left"/>
              <w:rPr>
                <w:rFonts w:eastAsia="Arial"/>
                <w:b/>
                <w:color w:val="000000"/>
                <w:szCs w:val="24"/>
              </w:rPr>
            </w:pPr>
            <w:r w:rsidRPr="0080505B">
              <w:rPr>
                <w:rFonts w:eastAsia="Arial"/>
                <w:b/>
                <w:color w:val="000000"/>
                <w:szCs w:val="24"/>
              </w:rPr>
              <w:t>Free Cash Flow to Net Debt Ratio</w:t>
            </w:r>
          </w:p>
          <w:p w14:paraId="0ABA8518" w14:textId="7E49E006" w:rsidR="0080505B" w:rsidRPr="006C68D3" w:rsidRDefault="0080505B">
            <w:pPr>
              <w:pBdr>
                <w:top w:val="nil"/>
                <w:left w:val="nil"/>
                <w:bottom w:val="nil"/>
                <w:right w:val="nil"/>
                <w:between w:val="nil"/>
              </w:pBdr>
              <w:spacing w:before="100" w:after="200"/>
              <w:jc w:val="left"/>
              <w:rPr>
                <w:rFonts w:eastAsia="Arial"/>
                <w:b/>
                <w:color w:val="000000"/>
                <w:szCs w:val="24"/>
              </w:rPr>
            </w:pPr>
          </w:p>
        </w:tc>
        <w:tc>
          <w:tcPr>
            <w:tcW w:w="1977" w:type="dxa"/>
            <w:vAlign w:val="center"/>
          </w:tcPr>
          <w:p w14:paraId="3090A61D" w14:textId="5EE47ADA" w:rsidR="0080505B" w:rsidRPr="006C68D3" w:rsidRDefault="0080505B" w:rsidP="0080505B">
            <w:pPr>
              <w:pBdr>
                <w:top w:val="nil"/>
                <w:left w:val="nil"/>
                <w:bottom w:val="nil"/>
                <w:right w:val="nil"/>
                <w:between w:val="nil"/>
              </w:pBdr>
              <w:spacing w:before="100" w:after="200"/>
              <w:jc w:val="center"/>
              <w:rPr>
                <w:rFonts w:eastAsia="Arial"/>
                <w:i/>
                <w:color w:val="000000"/>
                <w:szCs w:val="24"/>
              </w:rPr>
            </w:pPr>
            <w:r w:rsidRPr="0080505B">
              <w:rPr>
                <w:rFonts w:eastAsia="Arial"/>
                <w:i/>
                <w:color w:val="000000"/>
                <w:szCs w:val="24"/>
              </w:rPr>
              <w:t>Free Cash Flow to Net Debt Ratio = Free Cash Flow / Net Debt</w:t>
            </w:r>
          </w:p>
          <w:p w14:paraId="40771C1F" w14:textId="2C3EE92D" w:rsidR="0080505B" w:rsidRPr="006C68D3" w:rsidRDefault="0080505B">
            <w:pPr>
              <w:pBdr>
                <w:top w:val="nil"/>
                <w:left w:val="nil"/>
                <w:bottom w:val="nil"/>
                <w:right w:val="nil"/>
                <w:between w:val="nil"/>
              </w:pBdr>
              <w:spacing w:before="100" w:after="200"/>
              <w:jc w:val="center"/>
              <w:rPr>
                <w:rFonts w:eastAsia="Arial"/>
                <w:i/>
                <w:color w:val="000000"/>
                <w:szCs w:val="24"/>
              </w:rPr>
            </w:pPr>
          </w:p>
        </w:tc>
        <w:tc>
          <w:tcPr>
            <w:tcW w:w="1697" w:type="dxa"/>
            <w:vAlign w:val="center"/>
          </w:tcPr>
          <w:p w14:paraId="38334E29" w14:textId="58EA36A3" w:rsidR="0080505B" w:rsidRPr="006C68D3" w:rsidRDefault="0080505B" w:rsidP="0080505B">
            <w:pPr>
              <w:pBdr>
                <w:top w:val="nil"/>
                <w:left w:val="nil"/>
                <w:bottom w:val="nil"/>
                <w:right w:val="nil"/>
                <w:between w:val="nil"/>
              </w:pBdr>
              <w:spacing w:before="100" w:after="200"/>
              <w:jc w:val="center"/>
              <w:rPr>
                <w:rFonts w:eastAsia="Arial"/>
                <w:i/>
                <w:color w:val="000000"/>
                <w:szCs w:val="24"/>
              </w:rPr>
            </w:pPr>
            <w:r w:rsidRPr="0080505B">
              <w:rPr>
                <w:rFonts w:eastAsia="Arial"/>
                <w:i/>
                <w:color w:val="000000"/>
                <w:szCs w:val="24"/>
              </w:rPr>
              <w:t>&gt; 15%</w:t>
            </w:r>
          </w:p>
        </w:tc>
      </w:tr>
      <w:tr w:rsidR="0080505B" w:rsidRPr="006C68D3" w14:paraId="1CFCF28E" w14:textId="77777777" w:rsidTr="0080505B">
        <w:tc>
          <w:tcPr>
            <w:tcW w:w="2253" w:type="dxa"/>
            <w:vAlign w:val="center"/>
          </w:tcPr>
          <w:p w14:paraId="73770CB3" w14:textId="77777777" w:rsidR="0080505B" w:rsidRPr="0080505B" w:rsidRDefault="0080505B">
            <w:pPr>
              <w:pBdr>
                <w:top w:val="nil"/>
                <w:left w:val="nil"/>
                <w:bottom w:val="nil"/>
                <w:right w:val="nil"/>
                <w:between w:val="nil"/>
              </w:pBdr>
              <w:spacing w:before="100" w:after="200"/>
              <w:jc w:val="left"/>
              <w:rPr>
                <w:rFonts w:eastAsia="Arial"/>
                <w:b/>
                <w:color w:val="000000"/>
                <w:szCs w:val="24"/>
              </w:rPr>
            </w:pPr>
            <w:r w:rsidRPr="0080505B">
              <w:rPr>
                <w:rFonts w:eastAsia="Arial"/>
                <w:b/>
                <w:color w:val="000000"/>
                <w:szCs w:val="24"/>
              </w:rPr>
              <w:t>3</w:t>
            </w:r>
          </w:p>
          <w:p w14:paraId="392F22F1" w14:textId="3B69B96C" w:rsidR="0080505B" w:rsidRPr="0080505B" w:rsidRDefault="0080505B">
            <w:pPr>
              <w:pBdr>
                <w:top w:val="nil"/>
                <w:left w:val="nil"/>
                <w:bottom w:val="nil"/>
                <w:right w:val="nil"/>
                <w:between w:val="nil"/>
              </w:pBdr>
              <w:spacing w:before="100" w:after="200"/>
              <w:jc w:val="left"/>
              <w:rPr>
                <w:rFonts w:eastAsia="Arial"/>
                <w:b/>
                <w:color w:val="000000"/>
                <w:szCs w:val="24"/>
              </w:rPr>
            </w:pPr>
            <w:r w:rsidRPr="0080505B">
              <w:rPr>
                <w:rFonts w:eastAsia="Arial"/>
                <w:b/>
                <w:color w:val="000000"/>
                <w:szCs w:val="24"/>
              </w:rPr>
              <w:t>Net Debt + Net Pension Deficit to EBITDA ratio</w:t>
            </w:r>
          </w:p>
        </w:tc>
        <w:tc>
          <w:tcPr>
            <w:tcW w:w="1977" w:type="dxa"/>
            <w:vAlign w:val="center"/>
          </w:tcPr>
          <w:p w14:paraId="605C5163" w14:textId="61CB7DFA" w:rsidR="0080505B" w:rsidRPr="0080505B" w:rsidRDefault="0080505B">
            <w:pPr>
              <w:pBdr>
                <w:top w:val="nil"/>
                <w:left w:val="nil"/>
                <w:bottom w:val="nil"/>
                <w:right w:val="nil"/>
                <w:between w:val="nil"/>
              </w:pBdr>
              <w:spacing w:before="100" w:after="200"/>
              <w:jc w:val="center"/>
              <w:rPr>
                <w:rFonts w:eastAsia="Arial"/>
                <w:i/>
                <w:color w:val="000000"/>
                <w:szCs w:val="24"/>
                <w:lang w:val="nl-NL"/>
              </w:rPr>
            </w:pPr>
            <w:r w:rsidRPr="0080505B">
              <w:rPr>
                <w:rFonts w:eastAsia="Arial"/>
                <w:i/>
                <w:color w:val="000000"/>
                <w:szCs w:val="24"/>
                <w:lang w:val="nl-NL"/>
              </w:rPr>
              <w:t>Net Debt + Net Pension Deficit to EBITDA Ratio = (Net Debt + Net Pension Deficit) / EBITDA</w:t>
            </w:r>
          </w:p>
        </w:tc>
        <w:tc>
          <w:tcPr>
            <w:tcW w:w="1697" w:type="dxa"/>
            <w:vAlign w:val="center"/>
          </w:tcPr>
          <w:p w14:paraId="50AB3B00" w14:textId="2034F009" w:rsidR="0080505B" w:rsidRPr="0080505B" w:rsidRDefault="0080505B">
            <w:pPr>
              <w:pBdr>
                <w:top w:val="nil"/>
                <w:left w:val="nil"/>
                <w:bottom w:val="nil"/>
                <w:right w:val="nil"/>
                <w:between w:val="nil"/>
              </w:pBdr>
              <w:spacing w:before="100" w:after="200"/>
              <w:jc w:val="center"/>
              <w:rPr>
                <w:rFonts w:eastAsia="Arial"/>
                <w:i/>
                <w:color w:val="000000"/>
                <w:szCs w:val="24"/>
              </w:rPr>
            </w:pPr>
            <w:r w:rsidRPr="0080505B">
              <w:rPr>
                <w:rFonts w:eastAsia="Arial"/>
                <w:i/>
                <w:color w:val="000000"/>
                <w:szCs w:val="24"/>
              </w:rPr>
              <w:t>&lt; 4</w:t>
            </w:r>
            <w:r>
              <w:rPr>
                <w:rFonts w:eastAsia="Arial"/>
                <w:i/>
                <w:color w:val="000000"/>
                <w:szCs w:val="24"/>
              </w:rPr>
              <w:t>.0</w:t>
            </w:r>
            <w:r w:rsidRPr="0080505B">
              <w:rPr>
                <w:rFonts w:eastAsia="Arial"/>
                <w:i/>
                <w:color w:val="000000"/>
                <w:szCs w:val="24"/>
              </w:rPr>
              <w:t xml:space="preserve"> times</w:t>
            </w:r>
          </w:p>
        </w:tc>
      </w:tr>
      <w:tr w:rsidR="0080505B" w:rsidRPr="006C68D3" w14:paraId="59D17294" w14:textId="77777777" w:rsidTr="0080505B">
        <w:tc>
          <w:tcPr>
            <w:tcW w:w="2253" w:type="dxa"/>
            <w:vAlign w:val="center"/>
          </w:tcPr>
          <w:p w14:paraId="2EF1FD57" w14:textId="77777777" w:rsidR="0080505B" w:rsidRPr="0080505B" w:rsidRDefault="0080505B" w:rsidP="002238CF">
            <w:pPr>
              <w:keepNext/>
              <w:keepLines/>
              <w:pBdr>
                <w:top w:val="nil"/>
                <w:left w:val="nil"/>
                <w:bottom w:val="nil"/>
                <w:right w:val="nil"/>
                <w:between w:val="nil"/>
              </w:pBdr>
              <w:spacing w:before="100" w:after="200"/>
              <w:jc w:val="left"/>
              <w:rPr>
                <w:rFonts w:eastAsia="Arial"/>
                <w:b/>
                <w:color w:val="000000"/>
                <w:szCs w:val="24"/>
              </w:rPr>
            </w:pPr>
            <w:r w:rsidRPr="0080505B">
              <w:rPr>
                <w:rFonts w:eastAsia="Arial"/>
                <w:b/>
                <w:color w:val="000000"/>
                <w:szCs w:val="24"/>
              </w:rPr>
              <w:t>4</w:t>
            </w:r>
          </w:p>
          <w:p w14:paraId="1490BE96" w14:textId="61BDFB34" w:rsidR="0080505B" w:rsidRPr="0080505B" w:rsidRDefault="0080505B">
            <w:pPr>
              <w:pBdr>
                <w:top w:val="nil"/>
                <w:left w:val="nil"/>
                <w:bottom w:val="nil"/>
                <w:right w:val="nil"/>
                <w:between w:val="nil"/>
              </w:pBdr>
              <w:spacing w:before="100" w:after="200"/>
              <w:jc w:val="left"/>
              <w:rPr>
                <w:rFonts w:eastAsia="Arial"/>
                <w:b/>
                <w:color w:val="000000"/>
                <w:szCs w:val="24"/>
              </w:rPr>
            </w:pPr>
            <w:r w:rsidRPr="0080505B">
              <w:rPr>
                <w:rFonts w:eastAsia="Arial"/>
                <w:b/>
                <w:color w:val="000000"/>
                <w:szCs w:val="24"/>
              </w:rPr>
              <w:t>Net Interest Paid Cover</w:t>
            </w:r>
          </w:p>
        </w:tc>
        <w:tc>
          <w:tcPr>
            <w:tcW w:w="1977" w:type="dxa"/>
            <w:vAlign w:val="center"/>
          </w:tcPr>
          <w:p w14:paraId="0FEC3B04" w14:textId="3DD8B36D" w:rsidR="0080505B" w:rsidRPr="0080505B" w:rsidRDefault="0080505B">
            <w:pPr>
              <w:pBdr>
                <w:top w:val="nil"/>
                <w:left w:val="nil"/>
                <w:bottom w:val="nil"/>
                <w:right w:val="nil"/>
                <w:between w:val="nil"/>
              </w:pBdr>
              <w:spacing w:before="100" w:after="200"/>
              <w:jc w:val="center"/>
              <w:rPr>
                <w:rFonts w:eastAsia="Arial"/>
                <w:i/>
                <w:color w:val="000000"/>
                <w:szCs w:val="24"/>
              </w:rPr>
            </w:pPr>
            <w:r w:rsidRPr="0080505B">
              <w:rPr>
                <w:rFonts w:eastAsia="Arial"/>
                <w:i/>
                <w:color w:val="000000"/>
                <w:szCs w:val="24"/>
              </w:rPr>
              <w:t>Net Interest Paid Cover = Earnings Before Interest and Tax / Net Interest Paid</w:t>
            </w:r>
          </w:p>
        </w:tc>
        <w:tc>
          <w:tcPr>
            <w:tcW w:w="1697" w:type="dxa"/>
            <w:vAlign w:val="center"/>
          </w:tcPr>
          <w:p w14:paraId="74A0B69B" w14:textId="1627259D" w:rsidR="0080505B" w:rsidRPr="0080505B" w:rsidRDefault="0080505B">
            <w:pPr>
              <w:pBdr>
                <w:top w:val="nil"/>
                <w:left w:val="nil"/>
                <w:bottom w:val="nil"/>
                <w:right w:val="nil"/>
                <w:between w:val="nil"/>
              </w:pBdr>
              <w:spacing w:before="100" w:after="200"/>
              <w:jc w:val="center"/>
              <w:rPr>
                <w:rFonts w:eastAsia="Arial"/>
                <w:i/>
                <w:color w:val="000000"/>
                <w:szCs w:val="24"/>
              </w:rPr>
            </w:pPr>
            <w:r w:rsidRPr="0080505B">
              <w:rPr>
                <w:rFonts w:eastAsia="Arial"/>
                <w:i/>
                <w:color w:val="000000"/>
                <w:szCs w:val="24"/>
              </w:rPr>
              <w:t>&gt; 4.5 times</w:t>
            </w:r>
          </w:p>
        </w:tc>
      </w:tr>
      <w:tr w:rsidR="0080505B" w:rsidRPr="006C68D3" w14:paraId="46C3A97C" w14:textId="77777777" w:rsidTr="0080505B">
        <w:tc>
          <w:tcPr>
            <w:tcW w:w="2253" w:type="dxa"/>
            <w:vAlign w:val="center"/>
          </w:tcPr>
          <w:p w14:paraId="532578B9" w14:textId="77777777" w:rsidR="0080505B" w:rsidRPr="0080505B" w:rsidRDefault="0080505B">
            <w:pPr>
              <w:pBdr>
                <w:top w:val="nil"/>
                <w:left w:val="nil"/>
                <w:bottom w:val="nil"/>
                <w:right w:val="nil"/>
                <w:between w:val="nil"/>
              </w:pBdr>
              <w:spacing w:before="100" w:after="200"/>
              <w:jc w:val="left"/>
              <w:rPr>
                <w:rFonts w:eastAsia="Arial"/>
                <w:b/>
                <w:color w:val="000000"/>
                <w:szCs w:val="24"/>
              </w:rPr>
            </w:pPr>
            <w:r w:rsidRPr="0080505B">
              <w:rPr>
                <w:rFonts w:eastAsia="Arial"/>
                <w:b/>
                <w:color w:val="000000"/>
                <w:szCs w:val="24"/>
              </w:rPr>
              <w:t>5</w:t>
            </w:r>
          </w:p>
          <w:p w14:paraId="5F952CB1" w14:textId="7626DABF" w:rsidR="0080505B" w:rsidRPr="0080505B" w:rsidRDefault="0080505B">
            <w:pPr>
              <w:pBdr>
                <w:top w:val="nil"/>
                <w:left w:val="nil"/>
                <w:bottom w:val="nil"/>
                <w:right w:val="nil"/>
                <w:between w:val="nil"/>
              </w:pBdr>
              <w:spacing w:before="100" w:after="200"/>
              <w:jc w:val="left"/>
              <w:rPr>
                <w:rFonts w:eastAsia="Arial"/>
                <w:b/>
                <w:color w:val="000000"/>
                <w:szCs w:val="24"/>
              </w:rPr>
            </w:pPr>
            <w:r w:rsidRPr="0080505B">
              <w:rPr>
                <w:rFonts w:eastAsia="Arial"/>
                <w:b/>
                <w:color w:val="000000"/>
                <w:szCs w:val="24"/>
              </w:rPr>
              <w:t>Acid Ratio</w:t>
            </w:r>
          </w:p>
        </w:tc>
        <w:tc>
          <w:tcPr>
            <w:tcW w:w="1977" w:type="dxa"/>
            <w:vAlign w:val="center"/>
          </w:tcPr>
          <w:p w14:paraId="78E07A2F" w14:textId="497EE754" w:rsidR="0080505B" w:rsidRPr="0080505B" w:rsidRDefault="0080505B">
            <w:pPr>
              <w:pBdr>
                <w:top w:val="nil"/>
                <w:left w:val="nil"/>
                <w:bottom w:val="nil"/>
                <w:right w:val="nil"/>
                <w:between w:val="nil"/>
              </w:pBdr>
              <w:spacing w:before="100" w:after="200"/>
              <w:jc w:val="center"/>
              <w:rPr>
                <w:rFonts w:eastAsia="Arial"/>
                <w:i/>
                <w:color w:val="000000"/>
                <w:szCs w:val="24"/>
                <w:lang w:val="fr-FR"/>
              </w:rPr>
            </w:pPr>
            <w:r w:rsidRPr="0080505B">
              <w:rPr>
                <w:rFonts w:eastAsia="Arial"/>
                <w:i/>
                <w:color w:val="000000"/>
                <w:szCs w:val="24"/>
                <w:lang w:val="fr-FR"/>
              </w:rPr>
              <w:t>Acid Ratio = (Current Assets – Inventories) / Current Liabilities</w:t>
            </w:r>
          </w:p>
        </w:tc>
        <w:tc>
          <w:tcPr>
            <w:tcW w:w="1697" w:type="dxa"/>
            <w:vAlign w:val="center"/>
          </w:tcPr>
          <w:p w14:paraId="56BC4EE4" w14:textId="2DFE6B83" w:rsidR="0080505B" w:rsidRPr="0080505B" w:rsidRDefault="0080505B">
            <w:pPr>
              <w:pBdr>
                <w:top w:val="nil"/>
                <w:left w:val="nil"/>
                <w:bottom w:val="nil"/>
                <w:right w:val="nil"/>
                <w:between w:val="nil"/>
              </w:pBdr>
              <w:spacing w:before="100" w:after="200"/>
              <w:jc w:val="center"/>
              <w:rPr>
                <w:rFonts w:eastAsia="Arial"/>
                <w:i/>
                <w:color w:val="000000"/>
                <w:szCs w:val="24"/>
              </w:rPr>
            </w:pPr>
            <w:r w:rsidRPr="0080505B">
              <w:rPr>
                <w:rFonts w:eastAsia="Arial"/>
                <w:i/>
                <w:color w:val="000000"/>
                <w:szCs w:val="24"/>
              </w:rPr>
              <w:t>&gt; 1.0 times</w:t>
            </w:r>
          </w:p>
        </w:tc>
      </w:tr>
      <w:tr w:rsidR="0080505B" w:rsidRPr="006C68D3" w14:paraId="7547A9D0" w14:textId="77777777" w:rsidTr="0080505B">
        <w:tc>
          <w:tcPr>
            <w:tcW w:w="2253" w:type="dxa"/>
            <w:vAlign w:val="center"/>
          </w:tcPr>
          <w:p w14:paraId="5B49C8F2" w14:textId="77777777" w:rsidR="0080505B" w:rsidRPr="0080505B" w:rsidRDefault="0080505B">
            <w:pPr>
              <w:pBdr>
                <w:top w:val="nil"/>
                <w:left w:val="nil"/>
                <w:bottom w:val="nil"/>
                <w:right w:val="nil"/>
                <w:between w:val="nil"/>
              </w:pBdr>
              <w:spacing w:before="100" w:after="200"/>
              <w:jc w:val="left"/>
              <w:rPr>
                <w:rFonts w:eastAsia="Arial"/>
                <w:b/>
                <w:color w:val="000000"/>
                <w:szCs w:val="24"/>
              </w:rPr>
            </w:pPr>
            <w:r w:rsidRPr="0080505B">
              <w:rPr>
                <w:rFonts w:eastAsia="Arial"/>
                <w:b/>
                <w:color w:val="000000"/>
                <w:szCs w:val="24"/>
              </w:rPr>
              <w:lastRenderedPageBreak/>
              <w:t>6</w:t>
            </w:r>
          </w:p>
          <w:p w14:paraId="38AED005" w14:textId="560A9218" w:rsidR="0080505B" w:rsidRPr="0080505B" w:rsidRDefault="0080505B">
            <w:pPr>
              <w:pBdr>
                <w:top w:val="nil"/>
                <w:left w:val="nil"/>
                <w:bottom w:val="nil"/>
                <w:right w:val="nil"/>
                <w:between w:val="nil"/>
              </w:pBdr>
              <w:spacing w:before="100" w:after="200"/>
              <w:jc w:val="left"/>
              <w:rPr>
                <w:rFonts w:eastAsia="Arial"/>
                <w:b/>
                <w:color w:val="000000"/>
                <w:szCs w:val="24"/>
              </w:rPr>
            </w:pPr>
            <w:r w:rsidRPr="0080505B">
              <w:rPr>
                <w:rFonts w:eastAsia="Arial"/>
                <w:b/>
                <w:color w:val="000000"/>
                <w:szCs w:val="24"/>
              </w:rPr>
              <w:t>Net Asset value</w:t>
            </w:r>
          </w:p>
        </w:tc>
        <w:tc>
          <w:tcPr>
            <w:tcW w:w="1977" w:type="dxa"/>
            <w:vAlign w:val="center"/>
          </w:tcPr>
          <w:p w14:paraId="256F1D12" w14:textId="7B8748DA" w:rsidR="0080505B" w:rsidRPr="0080505B" w:rsidRDefault="0080505B">
            <w:pPr>
              <w:pBdr>
                <w:top w:val="nil"/>
                <w:left w:val="nil"/>
                <w:bottom w:val="nil"/>
                <w:right w:val="nil"/>
                <w:between w:val="nil"/>
              </w:pBdr>
              <w:spacing w:before="100" w:after="200"/>
              <w:jc w:val="center"/>
              <w:rPr>
                <w:rFonts w:eastAsia="Arial"/>
                <w:i/>
                <w:color w:val="000000"/>
                <w:szCs w:val="24"/>
                <w:lang w:val="nl-NL"/>
              </w:rPr>
            </w:pPr>
            <w:r w:rsidRPr="0080505B">
              <w:rPr>
                <w:rFonts w:eastAsia="Arial"/>
                <w:i/>
                <w:color w:val="000000"/>
                <w:szCs w:val="24"/>
                <w:lang w:val="nl-NL"/>
              </w:rPr>
              <w:t>Net Asset Value = Net Assets</w:t>
            </w:r>
          </w:p>
        </w:tc>
        <w:tc>
          <w:tcPr>
            <w:tcW w:w="1697" w:type="dxa"/>
            <w:vAlign w:val="center"/>
          </w:tcPr>
          <w:p w14:paraId="32BAF96E" w14:textId="0E8B4408" w:rsidR="0080505B" w:rsidRPr="0080505B" w:rsidRDefault="0080505B">
            <w:pPr>
              <w:pBdr>
                <w:top w:val="nil"/>
                <w:left w:val="nil"/>
                <w:bottom w:val="nil"/>
                <w:right w:val="nil"/>
                <w:between w:val="nil"/>
              </w:pBdr>
              <w:spacing w:before="100" w:after="200"/>
              <w:jc w:val="center"/>
              <w:rPr>
                <w:rFonts w:eastAsia="Arial"/>
                <w:i/>
                <w:color w:val="000000"/>
                <w:szCs w:val="24"/>
              </w:rPr>
            </w:pPr>
            <w:r w:rsidRPr="0080505B">
              <w:rPr>
                <w:rFonts w:eastAsia="Arial"/>
                <w:i/>
                <w:color w:val="000000"/>
                <w:szCs w:val="24"/>
              </w:rPr>
              <w:t>&gt; £0</w:t>
            </w:r>
          </w:p>
        </w:tc>
      </w:tr>
      <w:tr w:rsidR="0080505B" w:rsidRPr="006C68D3" w14:paraId="64BC1335" w14:textId="77777777" w:rsidTr="0080505B">
        <w:tc>
          <w:tcPr>
            <w:tcW w:w="2253" w:type="dxa"/>
            <w:vAlign w:val="center"/>
          </w:tcPr>
          <w:p w14:paraId="594A92DD" w14:textId="77777777" w:rsidR="0080505B" w:rsidRPr="0080505B" w:rsidRDefault="0080505B">
            <w:pPr>
              <w:pBdr>
                <w:top w:val="nil"/>
                <w:left w:val="nil"/>
                <w:bottom w:val="nil"/>
                <w:right w:val="nil"/>
                <w:between w:val="nil"/>
              </w:pBdr>
              <w:spacing w:before="100" w:after="200"/>
              <w:jc w:val="left"/>
              <w:rPr>
                <w:rFonts w:eastAsia="Arial"/>
                <w:b/>
                <w:color w:val="000000"/>
                <w:szCs w:val="24"/>
              </w:rPr>
            </w:pPr>
            <w:r w:rsidRPr="0080505B">
              <w:rPr>
                <w:rFonts w:eastAsia="Arial"/>
                <w:b/>
                <w:color w:val="000000"/>
                <w:szCs w:val="24"/>
              </w:rPr>
              <w:t>7</w:t>
            </w:r>
          </w:p>
          <w:p w14:paraId="1CF0FD55" w14:textId="440A8781" w:rsidR="0080505B" w:rsidRPr="0080505B" w:rsidRDefault="0080505B">
            <w:pPr>
              <w:pBdr>
                <w:top w:val="nil"/>
                <w:left w:val="nil"/>
                <w:bottom w:val="nil"/>
                <w:right w:val="nil"/>
                <w:between w:val="nil"/>
              </w:pBdr>
              <w:spacing w:before="100" w:after="200"/>
              <w:jc w:val="left"/>
              <w:rPr>
                <w:rFonts w:eastAsia="Arial"/>
                <w:b/>
                <w:color w:val="000000"/>
                <w:szCs w:val="24"/>
              </w:rPr>
            </w:pPr>
            <w:r w:rsidRPr="0080505B">
              <w:rPr>
                <w:rFonts w:eastAsia="Arial"/>
                <w:b/>
                <w:color w:val="000000"/>
                <w:szCs w:val="24"/>
              </w:rPr>
              <w:t>Group Exposure Ratio</w:t>
            </w:r>
          </w:p>
        </w:tc>
        <w:tc>
          <w:tcPr>
            <w:tcW w:w="1977" w:type="dxa"/>
            <w:vAlign w:val="center"/>
          </w:tcPr>
          <w:p w14:paraId="64335F92" w14:textId="5EB08F87" w:rsidR="0080505B" w:rsidRPr="0080505B" w:rsidRDefault="0080505B">
            <w:pPr>
              <w:pBdr>
                <w:top w:val="nil"/>
                <w:left w:val="nil"/>
                <w:bottom w:val="nil"/>
                <w:right w:val="nil"/>
                <w:between w:val="nil"/>
              </w:pBdr>
              <w:spacing w:before="100" w:after="200"/>
              <w:jc w:val="center"/>
              <w:rPr>
                <w:rFonts w:eastAsia="Arial"/>
                <w:i/>
                <w:color w:val="000000"/>
                <w:szCs w:val="24"/>
              </w:rPr>
            </w:pPr>
            <w:r w:rsidRPr="0080505B">
              <w:rPr>
                <w:rFonts w:eastAsia="Arial"/>
                <w:i/>
                <w:color w:val="000000"/>
                <w:szCs w:val="24"/>
              </w:rPr>
              <w:t>Group Exposure / Gross Assets</w:t>
            </w:r>
          </w:p>
        </w:tc>
        <w:tc>
          <w:tcPr>
            <w:tcW w:w="1697" w:type="dxa"/>
            <w:vAlign w:val="center"/>
          </w:tcPr>
          <w:p w14:paraId="21E65F00" w14:textId="0E9D3157" w:rsidR="0080505B" w:rsidRPr="0080505B" w:rsidRDefault="0080505B">
            <w:pPr>
              <w:pBdr>
                <w:top w:val="nil"/>
                <w:left w:val="nil"/>
                <w:bottom w:val="nil"/>
                <w:right w:val="nil"/>
                <w:between w:val="nil"/>
              </w:pBdr>
              <w:spacing w:before="100" w:after="200"/>
              <w:jc w:val="center"/>
              <w:rPr>
                <w:rFonts w:eastAsia="Arial"/>
                <w:i/>
                <w:color w:val="000000"/>
                <w:szCs w:val="24"/>
              </w:rPr>
            </w:pPr>
            <w:r w:rsidRPr="0080505B">
              <w:rPr>
                <w:rFonts w:eastAsia="Arial"/>
                <w:i/>
                <w:color w:val="000000"/>
                <w:szCs w:val="24"/>
              </w:rPr>
              <w:t>&lt; 25%</w:t>
            </w:r>
          </w:p>
        </w:tc>
      </w:tr>
    </w:tbl>
    <w:p w14:paraId="04323923" w14:textId="77777777" w:rsidR="00A731E1" w:rsidRPr="006C68D3" w:rsidRDefault="00043197">
      <w:pPr>
        <w:pBdr>
          <w:top w:val="nil"/>
          <w:left w:val="nil"/>
          <w:bottom w:val="nil"/>
          <w:right w:val="nil"/>
          <w:between w:val="nil"/>
        </w:pBdr>
        <w:spacing w:before="120" w:after="120"/>
        <w:ind w:left="907" w:hanging="547"/>
        <w:jc w:val="left"/>
        <w:rPr>
          <w:rFonts w:eastAsia="Calibri"/>
          <w:color w:val="000000"/>
          <w:szCs w:val="24"/>
        </w:rPr>
      </w:pPr>
      <w:r w:rsidRPr="006C68D3">
        <w:rPr>
          <w:rFonts w:eastAsia="Calibri"/>
          <w:color w:val="000000"/>
          <w:szCs w:val="24"/>
        </w:rPr>
        <w:t xml:space="preserve">Key: </w:t>
      </w:r>
      <w:r w:rsidRPr="006C68D3">
        <w:rPr>
          <w:rFonts w:eastAsia="Calibri"/>
          <w:color w:val="000000"/>
          <w:szCs w:val="24"/>
          <w:vertAlign w:val="superscript"/>
        </w:rPr>
        <w:t>1</w:t>
      </w:r>
      <w:r w:rsidRPr="006C68D3">
        <w:rPr>
          <w:rFonts w:eastAsia="Calibri"/>
          <w:color w:val="000000"/>
          <w:szCs w:val="24"/>
        </w:rPr>
        <w:t xml:space="preserve"> – </w:t>
      </w:r>
      <w:r w:rsidRPr="00922F47">
        <w:rPr>
          <w:rFonts w:eastAsia="Calibri"/>
          <w:color w:val="000000"/>
          <w:szCs w:val="24"/>
        </w:rPr>
        <w:t>See Annex 4 of this Schedule which sets out the calculation methodology to be used in the calculation of each Financial Indicator.</w:t>
      </w:r>
    </w:p>
    <w:p w14:paraId="15C6B80D" w14:textId="77777777" w:rsidR="00A731E1" w:rsidRPr="006C68D3" w:rsidRDefault="00A731E1">
      <w:pPr>
        <w:spacing w:after="0"/>
        <w:rPr>
          <w:rFonts w:eastAsia="Arial"/>
          <w:szCs w:val="24"/>
        </w:rPr>
      </w:pPr>
    </w:p>
    <w:p w14:paraId="038F9761" w14:textId="77777777" w:rsidR="00A731E1" w:rsidRPr="006C68D3" w:rsidRDefault="00A731E1">
      <w:pPr>
        <w:spacing w:after="0"/>
        <w:rPr>
          <w:rFonts w:eastAsia="Arial"/>
          <w:szCs w:val="24"/>
        </w:rPr>
      </w:pPr>
    </w:p>
    <w:p w14:paraId="36AF10BF" w14:textId="77777777" w:rsidR="00A731E1" w:rsidRPr="006C68D3" w:rsidRDefault="00043197">
      <w:pPr>
        <w:rPr>
          <w:rFonts w:eastAsia="Arial"/>
          <w:szCs w:val="24"/>
        </w:rPr>
      </w:pPr>
      <w:r w:rsidRPr="006C68D3">
        <w:rPr>
          <w:szCs w:val="24"/>
        </w:rPr>
        <w:br w:type="page"/>
      </w:r>
    </w:p>
    <w:p w14:paraId="7522452D" w14:textId="77777777" w:rsidR="00A731E1" w:rsidRPr="006C68D3" w:rsidRDefault="00043197">
      <w:pPr>
        <w:spacing w:after="200" w:line="276" w:lineRule="auto"/>
        <w:jc w:val="left"/>
        <w:rPr>
          <w:rFonts w:eastAsia="Arial"/>
          <w:b/>
          <w:smallCaps/>
          <w:color w:val="000000"/>
          <w:szCs w:val="24"/>
        </w:rPr>
      </w:pPr>
      <w:r w:rsidRPr="006C68D3">
        <w:rPr>
          <w:rFonts w:eastAsia="Arial"/>
          <w:b/>
          <w:smallCaps/>
          <w:color w:val="000000"/>
          <w:szCs w:val="24"/>
        </w:rPr>
        <w:lastRenderedPageBreak/>
        <w:t xml:space="preserve">ANNEX </w:t>
      </w:r>
      <w:bookmarkStart w:id="60" w:name="Ann_3"/>
      <w:r w:rsidRPr="006C68D3">
        <w:rPr>
          <w:rFonts w:eastAsia="Arial"/>
          <w:b/>
          <w:smallCaps/>
          <w:color w:val="000000"/>
          <w:szCs w:val="24"/>
        </w:rPr>
        <w:t>3</w:t>
      </w:r>
      <w:bookmarkEnd w:id="60"/>
      <w:r w:rsidRPr="006C68D3">
        <w:rPr>
          <w:rFonts w:eastAsia="Arial"/>
          <w:b/>
          <w:smallCaps/>
          <w:color w:val="000000"/>
          <w:szCs w:val="24"/>
        </w:rPr>
        <w:t xml:space="preserve"> – ADDITIONAL FDE GROUP MEMBERS AND MONITORED SUPPLIERS</w:t>
      </w:r>
    </w:p>
    <w:p w14:paraId="3EC4CEBA"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 xml:space="preserve">Part </w:t>
      </w:r>
      <w:bookmarkStart w:id="61" w:name="Ann3_Part_A"/>
      <w:r w:rsidRPr="006C68D3">
        <w:rPr>
          <w:rFonts w:eastAsia="Arial"/>
          <w:b/>
          <w:color w:val="000000"/>
          <w:szCs w:val="24"/>
        </w:rPr>
        <w:t>A</w:t>
      </w:r>
      <w:bookmarkEnd w:id="61"/>
      <w:r w:rsidRPr="006C68D3">
        <w:rPr>
          <w:rFonts w:eastAsia="Arial"/>
          <w:b/>
          <w:color w:val="000000"/>
          <w:szCs w:val="24"/>
        </w:rPr>
        <w:t>: Additional FDE Group Members</w:t>
      </w:r>
    </w:p>
    <w:p w14:paraId="1F3B8752"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highlight w:val="yellow"/>
        </w:rPr>
        <w:t>[</w:t>
      </w:r>
      <w:r w:rsidRPr="006C68D3">
        <w:rPr>
          <w:rFonts w:eastAsia="Arial"/>
          <w:b/>
          <w:i/>
          <w:color w:val="000000"/>
          <w:szCs w:val="24"/>
          <w:highlight w:val="yellow"/>
        </w:rPr>
        <w:t>Guidance: List the entities that the Buyer wants to include in the FDE Group]</w:t>
      </w:r>
    </w:p>
    <w:p w14:paraId="49C30EC9"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highlight w:val="yellow"/>
        </w:rPr>
        <w:t>[[Guarantor</w:t>
      </w:r>
      <w:r w:rsidRPr="006C68D3">
        <w:rPr>
          <w:rFonts w:eastAsia="Arial"/>
          <w:color w:val="000000"/>
          <w:szCs w:val="24"/>
        </w:rPr>
        <w:t>]</w:t>
      </w:r>
    </w:p>
    <w:p w14:paraId="5B1AFF1F"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rPr>
        <w:t>[</w:t>
      </w:r>
      <w:r w:rsidRPr="006C68D3">
        <w:rPr>
          <w:rFonts w:eastAsia="Arial"/>
          <w:color w:val="000000"/>
          <w:szCs w:val="24"/>
          <w:highlight w:val="yellow"/>
        </w:rPr>
        <w:t>Key-Subcontractors]</w:t>
      </w:r>
      <w:r w:rsidRPr="006C68D3">
        <w:rPr>
          <w:rFonts w:eastAsia="Arial"/>
          <w:color w:val="000000"/>
          <w:szCs w:val="24"/>
        </w:rPr>
        <w:t xml:space="preserve">; and </w:t>
      </w:r>
    </w:p>
    <w:p w14:paraId="35BA3AC1"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rPr>
        <w:t>[</w:t>
      </w:r>
      <w:r w:rsidRPr="006C68D3">
        <w:rPr>
          <w:rFonts w:eastAsia="Arial"/>
          <w:color w:val="000000"/>
          <w:szCs w:val="24"/>
          <w:highlight w:val="yellow"/>
        </w:rPr>
        <w:t>Monitored Suppliers</w:t>
      </w:r>
      <w:r w:rsidRPr="006C68D3">
        <w:rPr>
          <w:rFonts w:eastAsia="Arial"/>
          <w:color w:val="000000"/>
          <w:szCs w:val="24"/>
        </w:rPr>
        <w:t>]];</w:t>
      </w:r>
    </w:p>
    <w:p w14:paraId="446CC692"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 xml:space="preserve">Part </w:t>
      </w:r>
      <w:bookmarkStart w:id="62" w:name="Ann3_Part_B"/>
      <w:r w:rsidRPr="006C68D3">
        <w:rPr>
          <w:rFonts w:eastAsia="Arial"/>
          <w:b/>
          <w:color w:val="000000"/>
          <w:szCs w:val="24"/>
        </w:rPr>
        <w:t>B</w:t>
      </w:r>
      <w:bookmarkEnd w:id="62"/>
      <w:r w:rsidRPr="006C68D3">
        <w:rPr>
          <w:rFonts w:eastAsia="Arial"/>
          <w:b/>
          <w:color w:val="000000"/>
          <w:szCs w:val="24"/>
        </w:rPr>
        <w:t>: Monitored Suppliers</w:t>
      </w:r>
    </w:p>
    <w:p w14:paraId="1C0A9B52" w14:textId="77777777" w:rsidR="00A731E1" w:rsidRPr="006C68D3" w:rsidRDefault="00043197">
      <w:pPr>
        <w:pBdr>
          <w:top w:val="nil"/>
          <w:left w:val="nil"/>
          <w:bottom w:val="nil"/>
          <w:right w:val="nil"/>
          <w:between w:val="nil"/>
        </w:pBdr>
        <w:spacing w:before="100" w:after="200"/>
        <w:jc w:val="left"/>
        <w:rPr>
          <w:rFonts w:eastAsia="Arial"/>
          <w:color w:val="000000"/>
          <w:szCs w:val="24"/>
        </w:rPr>
      </w:pPr>
      <w:r w:rsidRPr="006C68D3">
        <w:rPr>
          <w:rFonts w:eastAsia="Arial"/>
          <w:b/>
          <w:i/>
          <w:color w:val="000000"/>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a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4985"/>
      </w:tblGrid>
      <w:tr w:rsidR="00A731E1" w:rsidRPr="006C68D3" w14:paraId="154D7A44" w14:textId="77777777">
        <w:tc>
          <w:tcPr>
            <w:tcW w:w="2254" w:type="dxa"/>
            <w:shd w:val="clear" w:color="auto" w:fill="D9D9D9"/>
          </w:tcPr>
          <w:p w14:paraId="5DF548D1" w14:textId="77777777" w:rsidR="00A731E1" w:rsidRPr="006C68D3" w:rsidRDefault="00043197">
            <w:pPr>
              <w:rPr>
                <w:rFonts w:eastAsia="Arial"/>
                <w:szCs w:val="24"/>
              </w:rPr>
            </w:pPr>
            <w:r w:rsidRPr="006C68D3">
              <w:rPr>
                <w:rFonts w:eastAsia="Arial"/>
                <w:b/>
                <w:szCs w:val="24"/>
              </w:rPr>
              <w:t>Entity Name</w:t>
            </w:r>
          </w:p>
        </w:tc>
        <w:tc>
          <w:tcPr>
            <w:tcW w:w="2254" w:type="dxa"/>
            <w:shd w:val="clear" w:color="auto" w:fill="D9D9D9"/>
          </w:tcPr>
          <w:p w14:paraId="25F76453" w14:textId="77777777" w:rsidR="00A731E1" w:rsidRPr="006C68D3" w:rsidRDefault="00043197">
            <w:pPr>
              <w:rPr>
                <w:rFonts w:eastAsia="Arial"/>
                <w:b/>
                <w:szCs w:val="24"/>
              </w:rPr>
            </w:pPr>
            <w:r w:rsidRPr="006C68D3">
              <w:rPr>
                <w:rFonts w:eastAsia="Arial"/>
                <w:b/>
                <w:szCs w:val="24"/>
              </w:rPr>
              <w:t>Company Number</w:t>
            </w:r>
          </w:p>
        </w:tc>
        <w:tc>
          <w:tcPr>
            <w:tcW w:w="4985" w:type="dxa"/>
            <w:shd w:val="clear" w:color="auto" w:fill="D9D9D9"/>
          </w:tcPr>
          <w:p w14:paraId="1ED09B4C" w14:textId="77777777" w:rsidR="00A731E1" w:rsidRPr="006C68D3" w:rsidRDefault="00043197">
            <w:pPr>
              <w:rPr>
                <w:rFonts w:eastAsia="Arial"/>
                <w:b/>
                <w:szCs w:val="24"/>
              </w:rPr>
            </w:pPr>
            <w:r w:rsidRPr="006C68D3">
              <w:rPr>
                <w:rFonts w:eastAsia="Arial"/>
                <w:b/>
                <w:szCs w:val="24"/>
              </w:rPr>
              <w:t>Applicable Financial Indicators</w:t>
            </w:r>
          </w:p>
          <w:p w14:paraId="43E26F9A" w14:textId="77777777" w:rsidR="00A731E1" w:rsidRPr="006C68D3" w:rsidRDefault="00A731E1">
            <w:pPr>
              <w:rPr>
                <w:rFonts w:eastAsia="Arial"/>
                <w:b/>
                <w:szCs w:val="24"/>
              </w:rPr>
            </w:pPr>
          </w:p>
          <w:p w14:paraId="60E03B3D" w14:textId="38BC01D6" w:rsidR="00A731E1" w:rsidRPr="006C68D3" w:rsidRDefault="00043197">
            <w:pPr>
              <w:rPr>
                <w:rFonts w:eastAsia="Arial"/>
                <w:b/>
                <w:szCs w:val="24"/>
              </w:rPr>
            </w:pPr>
            <w:r w:rsidRPr="006C68D3">
              <w:rPr>
                <w:rFonts w:eastAsia="Arial"/>
                <w:b/>
                <w:szCs w:val="24"/>
              </w:rPr>
              <w:t xml:space="preserve">(these are the Financial Indicators from the table in Part </w:t>
            </w:r>
            <w:r w:rsidR="002238CF">
              <w:rPr>
                <w:rFonts w:eastAsia="Arial"/>
                <w:b/>
                <w:szCs w:val="24"/>
              </w:rPr>
              <w:fldChar w:fldCharType="begin"/>
            </w:r>
            <w:r w:rsidR="002238CF">
              <w:rPr>
                <w:rFonts w:eastAsia="Arial"/>
                <w:b/>
                <w:szCs w:val="24"/>
              </w:rPr>
              <w:instrText xml:space="preserve"> REF Ann2_Part_C \h </w:instrText>
            </w:r>
            <w:r w:rsidR="002238CF">
              <w:rPr>
                <w:rFonts w:eastAsia="Arial"/>
                <w:b/>
                <w:szCs w:val="24"/>
              </w:rPr>
            </w:r>
            <w:r w:rsidR="002238CF">
              <w:rPr>
                <w:rFonts w:eastAsia="Arial"/>
                <w:b/>
                <w:szCs w:val="24"/>
              </w:rPr>
              <w:fldChar w:fldCharType="separate"/>
            </w:r>
            <w:r w:rsidR="006772B1" w:rsidRPr="006C68D3">
              <w:rPr>
                <w:rFonts w:eastAsia="Arial"/>
                <w:b/>
                <w:szCs w:val="24"/>
              </w:rPr>
              <w:t>C</w:t>
            </w:r>
            <w:r w:rsidR="002238CF">
              <w:rPr>
                <w:rFonts w:eastAsia="Arial"/>
                <w:b/>
                <w:szCs w:val="24"/>
              </w:rPr>
              <w:fldChar w:fldCharType="end"/>
            </w:r>
            <w:r w:rsidRPr="006C68D3">
              <w:rPr>
                <w:rFonts w:eastAsia="Arial"/>
                <w:b/>
                <w:szCs w:val="24"/>
              </w:rPr>
              <w:t xml:space="preserve"> of Annex </w:t>
            </w:r>
            <w:r w:rsidR="002238CF">
              <w:rPr>
                <w:rFonts w:eastAsia="Arial"/>
                <w:b/>
                <w:szCs w:val="24"/>
              </w:rPr>
              <w:fldChar w:fldCharType="begin"/>
            </w:r>
            <w:r w:rsidR="002238CF">
              <w:rPr>
                <w:rFonts w:eastAsia="Arial"/>
                <w:b/>
                <w:szCs w:val="24"/>
              </w:rPr>
              <w:instrText xml:space="preserve"> REF Ann_2 \h </w:instrText>
            </w:r>
            <w:r w:rsidR="002238CF">
              <w:rPr>
                <w:rFonts w:eastAsia="Arial"/>
                <w:b/>
                <w:szCs w:val="24"/>
              </w:rPr>
            </w:r>
            <w:r w:rsidR="002238CF">
              <w:rPr>
                <w:rFonts w:eastAsia="Arial"/>
                <w:b/>
                <w:szCs w:val="24"/>
              </w:rPr>
              <w:fldChar w:fldCharType="separate"/>
            </w:r>
            <w:r w:rsidR="006772B1" w:rsidRPr="006C68D3">
              <w:rPr>
                <w:rFonts w:eastAsia="Arial"/>
                <w:b/>
                <w:smallCaps/>
                <w:color w:val="000000"/>
                <w:szCs w:val="24"/>
              </w:rPr>
              <w:t>2</w:t>
            </w:r>
            <w:r w:rsidR="002238CF">
              <w:rPr>
                <w:rFonts w:eastAsia="Arial"/>
                <w:b/>
                <w:szCs w:val="24"/>
              </w:rPr>
              <w:fldChar w:fldCharType="end"/>
            </w:r>
            <w:r w:rsidRPr="006C68D3">
              <w:rPr>
                <w:rFonts w:eastAsia="Arial"/>
                <w:b/>
                <w:szCs w:val="24"/>
              </w:rPr>
              <w:t xml:space="preserve"> which are to apply to the Monitored Suppliers)</w:t>
            </w:r>
          </w:p>
        </w:tc>
      </w:tr>
      <w:tr w:rsidR="00A731E1" w:rsidRPr="006C68D3" w14:paraId="16CA2073" w14:textId="77777777">
        <w:tc>
          <w:tcPr>
            <w:tcW w:w="2254" w:type="dxa"/>
          </w:tcPr>
          <w:p w14:paraId="585833C8" w14:textId="77777777" w:rsidR="00A731E1" w:rsidRPr="006C68D3" w:rsidRDefault="00A731E1">
            <w:pPr>
              <w:rPr>
                <w:rFonts w:eastAsia="Arial"/>
                <w:szCs w:val="24"/>
              </w:rPr>
            </w:pPr>
          </w:p>
        </w:tc>
        <w:tc>
          <w:tcPr>
            <w:tcW w:w="2254" w:type="dxa"/>
          </w:tcPr>
          <w:p w14:paraId="4AC75885" w14:textId="77777777" w:rsidR="00A731E1" w:rsidRPr="006C68D3" w:rsidRDefault="00A731E1">
            <w:pPr>
              <w:rPr>
                <w:rFonts w:eastAsia="Arial"/>
                <w:szCs w:val="24"/>
              </w:rPr>
            </w:pPr>
          </w:p>
          <w:p w14:paraId="5C9BD07D" w14:textId="77777777" w:rsidR="00A731E1" w:rsidRPr="006C68D3" w:rsidRDefault="00A731E1">
            <w:pPr>
              <w:rPr>
                <w:rFonts w:eastAsia="Arial"/>
                <w:szCs w:val="24"/>
              </w:rPr>
            </w:pPr>
          </w:p>
        </w:tc>
        <w:tc>
          <w:tcPr>
            <w:tcW w:w="4985" w:type="dxa"/>
          </w:tcPr>
          <w:p w14:paraId="609A3402" w14:textId="77777777" w:rsidR="00A731E1" w:rsidRPr="006C68D3" w:rsidRDefault="00A731E1">
            <w:pPr>
              <w:rPr>
                <w:rFonts w:eastAsia="Arial"/>
                <w:szCs w:val="24"/>
              </w:rPr>
            </w:pPr>
          </w:p>
        </w:tc>
      </w:tr>
      <w:tr w:rsidR="00A731E1" w:rsidRPr="006C68D3" w14:paraId="6A5C89EC" w14:textId="77777777">
        <w:tc>
          <w:tcPr>
            <w:tcW w:w="2254" w:type="dxa"/>
          </w:tcPr>
          <w:p w14:paraId="634B8895" w14:textId="77777777" w:rsidR="00A731E1" w:rsidRPr="006C68D3" w:rsidRDefault="00A731E1">
            <w:pPr>
              <w:rPr>
                <w:rFonts w:eastAsia="Arial"/>
                <w:szCs w:val="24"/>
              </w:rPr>
            </w:pPr>
          </w:p>
        </w:tc>
        <w:tc>
          <w:tcPr>
            <w:tcW w:w="2254" w:type="dxa"/>
          </w:tcPr>
          <w:p w14:paraId="63C3ADCB" w14:textId="77777777" w:rsidR="00A731E1" w:rsidRPr="006C68D3" w:rsidRDefault="00A731E1">
            <w:pPr>
              <w:rPr>
                <w:rFonts w:eastAsia="Arial"/>
                <w:szCs w:val="24"/>
              </w:rPr>
            </w:pPr>
          </w:p>
          <w:p w14:paraId="64EF33A3" w14:textId="77777777" w:rsidR="00A731E1" w:rsidRPr="006C68D3" w:rsidRDefault="00A731E1">
            <w:pPr>
              <w:rPr>
                <w:rFonts w:eastAsia="Arial"/>
                <w:szCs w:val="24"/>
              </w:rPr>
            </w:pPr>
          </w:p>
        </w:tc>
        <w:tc>
          <w:tcPr>
            <w:tcW w:w="4985" w:type="dxa"/>
          </w:tcPr>
          <w:p w14:paraId="479CEDD3" w14:textId="77777777" w:rsidR="00A731E1" w:rsidRPr="006C68D3" w:rsidRDefault="00A731E1">
            <w:pPr>
              <w:rPr>
                <w:rFonts w:eastAsia="Arial"/>
                <w:szCs w:val="24"/>
              </w:rPr>
            </w:pPr>
          </w:p>
        </w:tc>
      </w:tr>
      <w:tr w:rsidR="00A731E1" w:rsidRPr="006C68D3" w14:paraId="2132C91B" w14:textId="77777777">
        <w:tc>
          <w:tcPr>
            <w:tcW w:w="2254" w:type="dxa"/>
          </w:tcPr>
          <w:p w14:paraId="7B240D81" w14:textId="77777777" w:rsidR="00A731E1" w:rsidRPr="006C68D3" w:rsidRDefault="00A731E1">
            <w:pPr>
              <w:rPr>
                <w:rFonts w:eastAsia="Arial"/>
                <w:szCs w:val="24"/>
              </w:rPr>
            </w:pPr>
          </w:p>
        </w:tc>
        <w:tc>
          <w:tcPr>
            <w:tcW w:w="2254" w:type="dxa"/>
          </w:tcPr>
          <w:p w14:paraId="312707D9" w14:textId="77777777" w:rsidR="00A731E1" w:rsidRPr="006C68D3" w:rsidRDefault="00A731E1">
            <w:pPr>
              <w:rPr>
                <w:rFonts w:eastAsia="Arial"/>
                <w:szCs w:val="24"/>
              </w:rPr>
            </w:pPr>
          </w:p>
          <w:p w14:paraId="4164DE95" w14:textId="77777777" w:rsidR="00A731E1" w:rsidRPr="006C68D3" w:rsidRDefault="00A731E1">
            <w:pPr>
              <w:rPr>
                <w:rFonts w:eastAsia="Arial"/>
                <w:szCs w:val="24"/>
              </w:rPr>
            </w:pPr>
          </w:p>
        </w:tc>
        <w:tc>
          <w:tcPr>
            <w:tcW w:w="4985" w:type="dxa"/>
          </w:tcPr>
          <w:p w14:paraId="55BBD04C" w14:textId="77777777" w:rsidR="00A731E1" w:rsidRPr="006C68D3" w:rsidRDefault="00A731E1">
            <w:pPr>
              <w:rPr>
                <w:rFonts w:eastAsia="Arial"/>
                <w:szCs w:val="24"/>
              </w:rPr>
            </w:pPr>
          </w:p>
        </w:tc>
      </w:tr>
      <w:tr w:rsidR="00A731E1" w:rsidRPr="006C68D3" w14:paraId="584933A3" w14:textId="77777777">
        <w:tc>
          <w:tcPr>
            <w:tcW w:w="2254" w:type="dxa"/>
          </w:tcPr>
          <w:p w14:paraId="3459CDF3" w14:textId="77777777" w:rsidR="00A731E1" w:rsidRPr="006C68D3" w:rsidRDefault="00A731E1">
            <w:pPr>
              <w:rPr>
                <w:rFonts w:eastAsia="Arial"/>
                <w:szCs w:val="24"/>
              </w:rPr>
            </w:pPr>
          </w:p>
        </w:tc>
        <w:tc>
          <w:tcPr>
            <w:tcW w:w="2254" w:type="dxa"/>
          </w:tcPr>
          <w:p w14:paraId="743EC581" w14:textId="77777777" w:rsidR="00A731E1" w:rsidRPr="006C68D3" w:rsidRDefault="00A731E1">
            <w:pPr>
              <w:rPr>
                <w:rFonts w:eastAsia="Arial"/>
                <w:szCs w:val="24"/>
              </w:rPr>
            </w:pPr>
          </w:p>
          <w:p w14:paraId="272BEB16" w14:textId="77777777" w:rsidR="00A731E1" w:rsidRPr="006C68D3" w:rsidRDefault="00A731E1">
            <w:pPr>
              <w:rPr>
                <w:rFonts w:eastAsia="Arial"/>
                <w:szCs w:val="24"/>
              </w:rPr>
            </w:pPr>
          </w:p>
        </w:tc>
        <w:tc>
          <w:tcPr>
            <w:tcW w:w="4985" w:type="dxa"/>
          </w:tcPr>
          <w:p w14:paraId="5AE68355" w14:textId="77777777" w:rsidR="00A731E1" w:rsidRPr="006C68D3" w:rsidRDefault="00A731E1">
            <w:pPr>
              <w:rPr>
                <w:rFonts w:eastAsia="Arial"/>
                <w:szCs w:val="24"/>
              </w:rPr>
            </w:pPr>
          </w:p>
        </w:tc>
      </w:tr>
      <w:tr w:rsidR="00A731E1" w:rsidRPr="006C68D3" w14:paraId="794D0DF4" w14:textId="77777777">
        <w:tc>
          <w:tcPr>
            <w:tcW w:w="2254" w:type="dxa"/>
          </w:tcPr>
          <w:p w14:paraId="0B4ED34D" w14:textId="77777777" w:rsidR="00A731E1" w:rsidRPr="006C68D3" w:rsidRDefault="00A731E1">
            <w:pPr>
              <w:rPr>
                <w:rFonts w:eastAsia="Arial"/>
                <w:szCs w:val="24"/>
              </w:rPr>
            </w:pPr>
          </w:p>
        </w:tc>
        <w:tc>
          <w:tcPr>
            <w:tcW w:w="2254" w:type="dxa"/>
          </w:tcPr>
          <w:p w14:paraId="6A0CF7B4" w14:textId="77777777" w:rsidR="00A731E1" w:rsidRPr="006C68D3" w:rsidRDefault="00A731E1">
            <w:pPr>
              <w:rPr>
                <w:rFonts w:eastAsia="Arial"/>
                <w:szCs w:val="24"/>
              </w:rPr>
            </w:pPr>
          </w:p>
          <w:p w14:paraId="0E87A037" w14:textId="77777777" w:rsidR="00A731E1" w:rsidRPr="006C68D3" w:rsidRDefault="00A731E1">
            <w:pPr>
              <w:rPr>
                <w:rFonts w:eastAsia="Arial"/>
                <w:szCs w:val="24"/>
              </w:rPr>
            </w:pPr>
          </w:p>
        </w:tc>
        <w:tc>
          <w:tcPr>
            <w:tcW w:w="4985" w:type="dxa"/>
          </w:tcPr>
          <w:p w14:paraId="041A2012" w14:textId="77777777" w:rsidR="00A731E1" w:rsidRPr="006C68D3" w:rsidRDefault="00A731E1">
            <w:pPr>
              <w:rPr>
                <w:rFonts w:eastAsia="Arial"/>
                <w:szCs w:val="24"/>
              </w:rPr>
            </w:pPr>
          </w:p>
        </w:tc>
      </w:tr>
    </w:tbl>
    <w:p w14:paraId="1C1D4B6B" w14:textId="77777777" w:rsidR="00A731E1" w:rsidRPr="006C68D3" w:rsidRDefault="00A731E1">
      <w:pPr>
        <w:spacing w:after="0"/>
        <w:rPr>
          <w:rFonts w:eastAsia="Arial"/>
          <w:szCs w:val="24"/>
        </w:rPr>
      </w:pPr>
    </w:p>
    <w:p w14:paraId="2AE3126D" w14:textId="77777777" w:rsidR="00A731E1" w:rsidRPr="006C68D3" w:rsidRDefault="00A731E1">
      <w:pPr>
        <w:rPr>
          <w:rFonts w:eastAsia="Arial"/>
          <w:szCs w:val="24"/>
        </w:rPr>
      </w:pPr>
    </w:p>
    <w:p w14:paraId="6446AF2B" w14:textId="77777777" w:rsidR="00A731E1" w:rsidRPr="006C68D3" w:rsidRDefault="00A731E1">
      <w:pPr>
        <w:rPr>
          <w:rFonts w:eastAsia="Arial"/>
          <w:szCs w:val="24"/>
        </w:rPr>
      </w:pPr>
    </w:p>
    <w:sectPr w:rsidR="00A731E1" w:rsidRPr="006C68D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EB2B0" w14:textId="77777777" w:rsidR="00C67AE9" w:rsidRDefault="00C67AE9">
      <w:pPr>
        <w:spacing w:after="0"/>
      </w:pPr>
      <w:r>
        <w:separator/>
      </w:r>
    </w:p>
  </w:endnote>
  <w:endnote w:type="continuationSeparator" w:id="0">
    <w:p w14:paraId="61A45D2E" w14:textId="77777777" w:rsidR="00C67AE9" w:rsidRDefault="00C67A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F287F" w14:textId="59034732" w:rsidR="00A731E1" w:rsidRDefault="005B22F1" w:rsidP="006C68D3">
    <w:pPr>
      <w:tabs>
        <w:tab w:val="center" w:pos="4513"/>
        <w:tab w:val="right" w:pos="9026"/>
      </w:tabs>
      <w:spacing w:after="0"/>
      <w:rPr>
        <w:rFonts w:eastAsia="Arial"/>
        <w:color w:val="BFBFBF"/>
        <w:sz w:val="20"/>
        <w:szCs w:val="20"/>
      </w:rPr>
    </w:pPr>
    <w:r>
      <w:rPr>
        <w:rFonts w:eastAsia="Arial"/>
        <w:color w:val="BFBFBF"/>
        <w:sz w:val="20"/>
        <w:szCs w:val="20"/>
      </w:rPr>
      <w:t>v.1.2</w:t>
    </w:r>
    <w:r w:rsidR="006C68D3">
      <w:rPr>
        <w:rFonts w:eastAsia="Arial"/>
        <w:color w:val="BFBFBF"/>
        <w:sz w:val="20"/>
        <w:szCs w:val="20"/>
      </w:rPr>
      <w:tab/>
    </w:r>
    <w:r w:rsidR="00043197">
      <w:rPr>
        <w:rFonts w:eastAsia="Arial"/>
        <w:color w:val="BFBFBF"/>
        <w:sz w:val="20"/>
        <w:szCs w:val="20"/>
      </w:rPr>
      <w:tab/>
      <w:t xml:space="preserve"> </w:t>
    </w:r>
    <w:r w:rsidR="00043197">
      <w:rPr>
        <w:rFonts w:eastAsia="Arial"/>
        <w:color w:val="BFBFBF"/>
        <w:sz w:val="20"/>
        <w:szCs w:val="20"/>
      </w:rPr>
      <w:fldChar w:fldCharType="begin"/>
    </w:r>
    <w:r w:rsidR="00043197">
      <w:rPr>
        <w:rFonts w:eastAsia="Arial"/>
        <w:color w:val="BFBFBF"/>
        <w:sz w:val="20"/>
        <w:szCs w:val="20"/>
      </w:rPr>
      <w:instrText>PAGE</w:instrText>
    </w:r>
    <w:r w:rsidR="00043197">
      <w:rPr>
        <w:rFonts w:eastAsia="Arial"/>
        <w:color w:val="BFBFBF"/>
        <w:sz w:val="20"/>
        <w:szCs w:val="20"/>
      </w:rPr>
      <w:fldChar w:fldCharType="separate"/>
    </w:r>
    <w:r w:rsidR="0049582C">
      <w:rPr>
        <w:rFonts w:eastAsia="Arial"/>
        <w:noProof/>
        <w:color w:val="BFBFBF"/>
        <w:sz w:val="20"/>
        <w:szCs w:val="20"/>
      </w:rPr>
      <w:t>1</w:t>
    </w:r>
    <w:r w:rsidR="00043197">
      <w:rPr>
        <w:rFonts w:eastAsia="Arial"/>
        <w:color w:val="BFBFBF"/>
        <w:sz w:val="20"/>
        <w:szCs w:val="20"/>
      </w:rPr>
      <w:fldChar w:fldCharType="end"/>
    </w:r>
  </w:p>
  <w:p w14:paraId="4C713EE4" w14:textId="7777777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BACA0" w14:textId="77777777" w:rsidR="00A731E1" w:rsidRDefault="00043197">
    <w:pPr>
      <w:tabs>
        <w:tab w:val="center" w:pos="4513"/>
        <w:tab w:val="right" w:pos="9026"/>
      </w:tabs>
      <w:spacing w:after="0"/>
      <w:rPr>
        <w:color w:val="BFBFBF"/>
      </w:rPr>
    </w:pPr>
    <w:r>
      <w:rPr>
        <w:color w:val="BFBFBF"/>
      </w:rPr>
      <w:t>Framework Ref: RM</w:t>
    </w:r>
    <w:r>
      <w:rPr>
        <w:color w:val="BFBFBF"/>
      </w:rPr>
      <w:tab/>
      <w:t xml:space="preserve">                                           </w:t>
    </w:r>
  </w:p>
  <w:p w14:paraId="506A623F" w14:textId="77777777" w:rsidR="00A731E1" w:rsidRDefault="0004319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1C47E8ED" w14:textId="77777777" w:rsidR="00A731E1" w:rsidRDefault="00043197">
    <w:pPr>
      <w:spacing w:after="0"/>
      <w:rPr>
        <w:rFonts w:eastAsia="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19213" w14:textId="77777777" w:rsidR="00C67AE9" w:rsidRDefault="00C67AE9">
      <w:pPr>
        <w:spacing w:after="0"/>
      </w:pPr>
      <w:r>
        <w:separator/>
      </w:r>
    </w:p>
  </w:footnote>
  <w:footnote w:type="continuationSeparator" w:id="0">
    <w:p w14:paraId="5933596D" w14:textId="77777777" w:rsidR="00C67AE9" w:rsidRDefault="00C67A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09CFB" w14:textId="7C93980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p w14:paraId="23C20B0C" w14:textId="2178DD3A" w:rsidR="006C68D3" w:rsidRPr="005B22F1" w:rsidRDefault="00043197">
    <w:pPr>
      <w:pBdr>
        <w:top w:val="nil"/>
        <w:left w:val="nil"/>
        <w:bottom w:val="nil"/>
        <w:right w:val="nil"/>
        <w:between w:val="nil"/>
      </w:pBdr>
      <w:tabs>
        <w:tab w:val="center" w:pos="4513"/>
        <w:tab w:val="right" w:pos="9026"/>
      </w:tabs>
      <w:spacing w:after="0"/>
      <w:rPr>
        <w:rFonts w:eastAsia="Arial"/>
        <w:bCs/>
        <w:color w:val="000000"/>
        <w:sz w:val="20"/>
        <w:szCs w:val="20"/>
      </w:rPr>
    </w:pPr>
    <w:r w:rsidRPr="005B22F1">
      <w:rPr>
        <w:rFonts w:eastAsia="Arial"/>
        <w:bCs/>
        <w:color w:val="000000"/>
        <w:sz w:val="20"/>
        <w:szCs w:val="20"/>
      </w:rPr>
      <w:t>Schedule 24 (Financial Difficulties)</w:t>
    </w:r>
    <w:r w:rsidR="005B22F1" w:rsidRPr="005B22F1">
      <w:rPr>
        <w:rFonts w:eastAsia="Arial"/>
        <w:bCs/>
        <w:color w:val="000000"/>
        <w:sz w:val="20"/>
        <w:szCs w:val="20"/>
      </w:rPr>
      <w:t xml:space="preserve">, </w:t>
    </w:r>
    <w:r w:rsidRPr="005B22F1">
      <w:rPr>
        <w:rFonts w:eastAsia="Arial"/>
        <w:bCs/>
        <w:color w:val="000000"/>
        <w:sz w:val="20"/>
        <w:szCs w:val="20"/>
      </w:rPr>
      <w:t>Crown Copyright</w:t>
    </w:r>
    <w:r w:rsidRPr="005B22F1">
      <w:rPr>
        <w:rFonts w:eastAsia="Arial"/>
        <w:bCs/>
        <w:color w:val="000000"/>
        <w:sz w:val="14"/>
        <w:szCs w:val="14"/>
      </w:rPr>
      <w:t xml:space="preserve"> </w:t>
    </w:r>
    <w:r w:rsidRPr="005B22F1">
      <w:rPr>
        <w:rFonts w:eastAsia="Arial"/>
        <w:bCs/>
        <w:color w:val="000000"/>
        <w:sz w:val="20"/>
        <w:szCs w:val="20"/>
      </w:rPr>
      <w:t>202</w:t>
    </w:r>
    <w:r w:rsidR="006C68D3" w:rsidRPr="005B22F1">
      <w:rPr>
        <w:rFonts w:eastAsia="Arial"/>
        <w:bCs/>
        <w:color w:val="000000"/>
        <w:sz w:val="20"/>
        <w:szCs w:val="20"/>
      </w:rPr>
      <w:t>3</w:t>
    </w:r>
    <w:r w:rsidR="005B22F1" w:rsidRPr="005B22F1">
      <w:rPr>
        <w:rFonts w:eastAsia="Arial"/>
        <w:bCs/>
        <w:color w:val="000000"/>
        <w:sz w:val="20"/>
        <w:szCs w:val="20"/>
      </w:rPr>
      <w:t xml:space="preserve">, </w:t>
    </w:r>
    <w:r w:rsidR="004B2188" w:rsidRPr="004B2188">
      <w:rPr>
        <w:rFonts w:eastAsia="Arial"/>
        <w:bCs/>
        <w:color w:val="000000"/>
        <w:sz w:val="20"/>
        <w:szCs w:val="20"/>
      </w:rPr>
      <w:t>RM6385 Energy Trading and Risk Management (ETRM) System</w:t>
    </w:r>
  </w:p>
  <w:p w14:paraId="195611AE" w14:textId="77777777" w:rsidR="006C68D3" w:rsidRDefault="006C68D3">
    <w:pPr>
      <w:pBdr>
        <w:top w:val="nil"/>
        <w:left w:val="nil"/>
        <w:bottom w:val="nil"/>
        <w:right w:val="nil"/>
        <w:between w:val="nil"/>
      </w:pBdr>
      <w:tabs>
        <w:tab w:val="center" w:pos="4513"/>
        <w:tab w:val="right" w:pos="9026"/>
      </w:tabs>
      <w:spacing w:after="0"/>
      <w:rPr>
        <w:rFonts w:eastAsia="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67D28"/>
    <w:multiLevelType w:val="multilevel"/>
    <w:tmpl w:val="3ACCF61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DD6379D"/>
    <w:multiLevelType w:val="multilevel"/>
    <w:tmpl w:val="1536FA24"/>
    <w:lvl w:ilvl="0">
      <w:start w:val="1"/>
      <w:numFmt w:val="decimal"/>
      <w:pStyle w:val="GPsDefinition"/>
      <w:lvlText w:val="%1."/>
      <w:lvlJc w:val="left"/>
      <w:pPr>
        <w:ind w:left="360" w:hanging="360"/>
      </w:pPr>
      <w:rPr>
        <w:b w:val="0"/>
        <w:bCs/>
      </w:r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C826B3C"/>
    <w:multiLevelType w:val="multilevel"/>
    <w:tmpl w:val="7B866750"/>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57:43" w:val="V2 - Amend TRK NV"/>
    <w:docVar w:name="gemDocNotesCount" w:val="1"/>
  </w:docVars>
  <w:rsids>
    <w:rsidRoot w:val="00A731E1"/>
    <w:rsid w:val="00043197"/>
    <w:rsid w:val="000A02B3"/>
    <w:rsid w:val="001E1710"/>
    <w:rsid w:val="002238CF"/>
    <w:rsid w:val="002936E5"/>
    <w:rsid w:val="002A3D1C"/>
    <w:rsid w:val="0032625E"/>
    <w:rsid w:val="003C3D2D"/>
    <w:rsid w:val="0049582C"/>
    <w:rsid w:val="00495A80"/>
    <w:rsid w:val="004B2188"/>
    <w:rsid w:val="005B22F1"/>
    <w:rsid w:val="005E3ABF"/>
    <w:rsid w:val="006772B1"/>
    <w:rsid w:val="0067774F"/>
    <w:rsid w:val="006C68D3"/>
    <w:rsid w:val="007D4D6A"/>
    <w:rsid w:val="0080505B"/>
    <w:rsid w:val="008063A9"/>
    <w:rsid w:val="008B696B"/>
    <w:rsid w:val="00922F47"/>
    <w:rsid w:val="00A156D8"/>
    <w:rsid w:val="00A731E1"/>
    <w:rsid w:val="00B26694"/>
    <w:rsid w:val="00B850B2"/>
    <w:rsid w:val="00BE660D"/>
    <w:rsid w:val="00C45CED"/>
    <w:rsid w:val="00C67AE9"/>
    <w:rsid w:val="00F64E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FD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AU"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8D3"/>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szCs w:val="24"/>
      <w:lang w:eastAsia="en-GB"/>
    </w:rPr>
  </w:style>
  <w:style w:type="paragraph" w:customStyle="1" w:styleId="AnnexHeading">
    <w:name w:val="Annex Heading"/>
    <w:basedOn w:val="Normal"/>
    <w:next w:val="Normal"/>
    <w:rsid w:val="000407EB"/>
    <w:pPr>
      <w:numPr>
        <w:numId w:val="3"/>
      </w:numPr>
      <w:overflowPunct/>
      <w:autoSpaceDE/>
      <w:autoSpaceDN/>
      <w:adjustRightInd/>
      <w:spacing w:before="100" w:after="300"/>
      <w:jc w:val="center"/>
      <w:textAlignment w:val="auto"/>
    </w:pPr>
    <w:rPr>
      <w:rFonts w:ascii="Arial Bold" w:hAnsi="Arial Bold" w:cs="Times New Roman"/>
      <w:b/>
      <w:caps/>
      <w:szCs w:val="24"/>
      <w:lang w:eastAsia="en-GB"/>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szCs w:val="24"/>
      <w:lang w:eastAsia="en-G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numPr>
        <w:ilvl w:val="2"/>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4">
    <w:name w:val="Appendix Text 4"/>
    <w:basedOn w:val="Normal"/>
    <w:next w:val="Normal"/>
    <w:rsid w:val="000407EB"/>
    <w:pPr>
      <w:numPr>
        <w:ilvl w:val="3"/>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5">
    <w:name w:val="Appendix Text 5"/>
    <w:basedOn w:val="Normal"/>
    <w:next w:val="Normal"/>
    <w:rsid w:val="000407EB"/>
    <w:pPr>
      <w:numPr>
        <w:ilvl w:val="4"/>
        <w:numId w:val="4"/>
      </w:numPr>
      <w:tabs>
        <w:tab w:val="left" w:pos="720"/>
        <w:tab w:val="left" w:pos="2523"/>
      </w:tabs>
      <w:overflowPunct/>
      <w:autoSpaceDE/>
      <w:autoSpaceDN/>
      <w:adjustRightInd/>
      <w:spacing w:before="100" w:after="200"/>
      <w:jc w:val="left"/>
      <w:textAlignment w:val="auto"/>
    </w:pPr>
    <w:rPr>
      <w:rFonts w:cs="Times New Roman"/>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lplks/m0vjIgVtT0ElCAfl9Qg==">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2736</Words>
  <Characters>15597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3</cp:revision>
  <dcterms:created xsi:type="dcterms:W3CDTF">2024-11-08T12:22:00Z</dcterms:created>
  <dcterms:modified xsi:type="dcterms:W3CDTF">2024-11-11T14:45:00Z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ies>
</file>